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8895E" w14:textId="61D45719" w:rsidR="00C77A35" w:rsidRDefault="00C77A35" w:rsidP="002C0937">
      <w:pPr>
        <w:spacing w:after="0"/>
        <w:jc w:val="center"/>
        <w:rPr>
          <w:b/>
          <w:sz w:val="28"/>
          <w:szCs w:val="28"/>
        </w:rPr>
      </w:pPr>
      <w:r>
        <w:rPr>
          <w:b/>
          <w:noProof/>
          <w:sz w:val="120"/>
          <w:szCs w:val="120"/>
        </w:rPr>
        <w:drawing>
          <wp:inline distT="0" distB="0" distL="0" distR="0" wp14:anchorId="06B362F3" wp14:editId="438EA914">
            <wp:extent cx="1943642" cy="15497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with bord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75480" cy="1654877"/>
                    </a:xfrm>
                    <a:prstGeom prst="rect">
                      <a:avLst/>
                    </a:prstGeom>
                  </pic:spPr>
                </pic:pic>
              </a:graphicData>
            </a:graphic>
          </wp:inline>
        </w:drawing>
      </w:r>
    </w:p>
    <w:p w14:paraId="4E382603" w14:textId="5633D696" w:rsidR="00983B46" w:rsidRDefault="00983B46" w:rsidP="005A5740">
      <w:pPr>
        <w:spacing w:after="0"/>
        <w:jc w:val="center"/>
        <w:rPr>
          <w:b/>
          <w:sz w:val="24"/>
          <w:szCs w:val="24"/>
        </w:rPr>
      </w:pPr>
      <w:r>
        <w:rPr>
          <w:b/>
          <w:sz w:val="24"/>
          <w:szCs w:val="24"/>
        </w:rPr>
        <w:t>MEMORANDUM</w:t>
      </w:r>
    </w:p>
    <w:p w14:paraId="1DBC28AA" w14:textId="3D8640B2" w:rsidR="00983B46" w:rsidRDefault="00983B46" w:rsidP="00983B46">
      <w:pPr>
        <w:tabs>
          <w:tab w:val="left" w:pos="383"/>
        </w:tabs>
        <w:spacing w:after="0"/>
        <w:rPr>
          <w:b/>
          <w:sz w:val="24"/>
          <w:szCs w:val="24"/>
        </w:rPr>
      </w:pPr>
      <w:r>
        <w:rPr>
          <w:b/>
          <w:sz w:val="24"/>
          <w:szCs w:val="24"/>
        </w:rPr>
        <w:tab/>
      </w:r>
    </w:p>
    <w:p w14:paraId="60BDE06E" w14:textId="37894B91" w:rsidR="00983B46" w:rsidRDefault="00983B46" w:rsidP="00983B46">
      <w:pPr>
        <w:tabs>
          <w:tab w:val="left" w:pos="383"/>
        </w:tabs>
        <w:spacing w:after="0"/>
        <w:jc w:val="both"/>
        <w:rPr>
          <w:bCs/>
          <w:sz w:val="24"/>
          <w:szCs w:val="24"/>
        </w:rPr>
      </w:pPr>
      <w:r>
        <w:rPr>
          <w:b/>
          <w:sz w:val="24"/>
          <w:szCs w:val="24"/>
        </w:rPr>
        <w:t>To:</w:t>
      </w:r>
      <w:r>
        <w:rPr>
          <w:b/>
          <w:sz w:val="24"/>
          <w:szCs w:val="24"/>
        </w:rPr>
        <w:tab/>
      </w:r>
      <w:r>
        <w:rPr>
          <w:b/>
          <w:sz w:val="24"/>
          <w:szCs w:val="24"/>
        </w:rPr>
        <w:tab/>
      </w:r>
      <w:r>
        <w:rPr>
          <w:b/>
          <w:sz w:val="24"/>
          <w:szCs w:val="24"/>
        </w:rPr>
        <w:tab/>
      </w:r>
      <w:r w:rsidRPr="00983B46">
        <w:rPr>
          <w:bCs/>
          <w:sz w:val="24"/>
          <w:szCs w:val="24"/>
        </w:rPr>
        <w:t>PABC Board of Directors</w:t>
      </w:r>
    </w:p>
    <w:p w14:paraId="2924CEB9" w14:textId="77777777" w:rsidR="00983B46" w:rsidRPr="00983B46" w:rsidRDefault="00983B46" w:rsidP="00983B46">
      <w:pPr>
        <w:tabs>
          <w:tab w:val="left" w:pos="383"/>
        </w:tabs>
        <w:spacing w:after="0"/>
        <w:jc w:val="both"/>
        <w:rPr>
          <w:bCs/>
          <w:sz w:val="24"/>
          <w:szCs w:val="24"/>
        </w:rPr>
      </w:pPr>
    </w:p>
    <w:p w14:paraId="7A910587" w14:textId="041B48E8" w:rsidR="00983B46" w:rsidRDefault="00983B46" w:rsidP="00983B46">
      <w:pPr>
        <w:tabs>
          <w:tab w:val="left" w:pos="383"/>
        </w:tabs>
        <w:spacing w:after="0"/>
        <w:jc w:val="both"/>
        <w:rPr>
          <w:bCs/>
          <w:sz w:val="24"/>
          <w:szCs w:val="24"/>
        </w:rPr>
      </w:pPr>
      <w:r>
        <w:rPr>
          <w:b/>
          <w:sz w:val="24"/>
          <w:szCs w:val="24"/>
        </w:rPr>
        <w:t>From:</w:t>
      </w:r>
      <w:r>
        <w:rPr>
          <w:b/>
          <w:sz w:val="24"/>
          <w:szCs w:val="24"/>
        </w:rPr>
        <w:tab/>
      </w:r>
      <w:r>
        <w:rPr>
          <w:b/>
          <w:sz w:val="24"/>
          <w:szCs w:val="24"/>
        </w:rPr>
        <w:tab/>
      </w:r>
      <w:r w:rsidRPr="00983B46">
        <w:rPr>
          <w:bCs/>
          <w:sz w:val="24"/>
          <w:szCs w:val="24"/>
        </w:rPr>
        <w:t>Francis Burnszynski, Parking Planning Manager</w:t>
      </w:r>
    </w:p>
    <w:p w14:paraId="25C89A84" w14:textId="77777777" w:rsidR="00983B46" w:rsidRDefault="00983B46" w:rsidP="00983B46">
      <w:pPr>
        <w:tabs>
          <w:tab w:val="left" w:pos="383"/>
        </w:tabs>
        <w:spacing w:after="0"/>
        <w:jc w:val="both"/>
        <w:rPr>
          <w:b/>
          <w:sz w:val="24"/>
          <w:szCs w:val="24"/>
        </w:rPr>
      </w:pPr>
    </w:p>
    <w:p w14:paraId="1CE817F5" w14:textId="0C5A7284" w:rsidR="00983B46" w:rsidRDefault="00983B46" w:rsidP="00983B46">
      <w:pPr>
        <w:tabs>
          <w:tab w:val="left" w:pos="383"/>
        </w:tabs>
        <w:spacing w:after="0"/>
        <w:jc w:val="both"/>
        <w:rPr>
          <w:bCs/>
          <w:sz w:val="24"/>
          <w:szCs w:val="24"/>
        </w:rPr>
      </w:pPr>
      <w:r>
        <w:rPr>
          <w:b/>
          <w:sz w:val="24"/>
          <w:szCs w:val="24"/>
        </w:rPr>
        <w:t>Date:</w:t>
      </w:r>
      <w:r>
        <w:rPr>
          <w:b/>
          <w:sz w:val="24"/>
          <w:szCs w:val="24"/>
        </w:rPr>
        <w:tab/>
      </w:r>
      <w:r>
        <w:rPr>
          <w:b/>
          <w:sz w:val="24"/>
          <w:szCs w:val="24"/>
        </w:rPr>
        <w:tab/>
      </w:r>
      <w:r w:rsidR="00C926E5" w:rsidRPr="008573B4">
        <w:rPr>
          <w:bCs/>
          <w:sz w:val="24"/>
          <w:szCs w:val="24"/>
        </w:rPr>
        <w:t>December</w:t>
      </w:r>
      <w:r w:rsidR="00CF63DD" w:rsidRPr="008573B4">
        <w:rPr>
          <w:bCs/>
          <w:sz w:val="24"/>
          <w:szCs w:val="24"/>
        </w:rPr>
        <w:t xml:space="preserve"> 1</w:t>
      </w:r>
      <w:r w:rsidRPr="008573B4">
        <w:rPr>
          <w:bCs/>
          <w:sz w:val="24"/>
          <w:szCs w:val="24"/>
        </w:rPr>
        <w:t>, 202</w:t>
      </w:r>
      <w:r w:rsidR="00305178" w:rsidRPr="008573B4">
        <w:rPr>
          <w:bCs/>
          <w:sz w:val="24"/>
          <w:szCs w:val="24"/>
        </w:rPr>
        <w:t>2</w:t>
      </w:r>
    </w:p>
    <w:p w14:paraId="72C941D8" w14:textId="77777777" w:rsidR="00983B46" w:rsidRDefault="00983B46" w:rsidP="00983B46">
      <w:pPr>
        <w:tabs>
          <w:tab w:val="left" w:pos="383"/>
        </w:tabs>
        <w:spacing w:after="0"/>
        <w:jc w:val="both"/>
        <w:rPr>
          <w:b/>
          <w:sz w:val="24"/>
          <w:szCs w:val="24"/>
        </w:rPr>
      </w:pPr>
    </w:p>
    <w:p w14:paraId="58AFD90B" w14:textId="4E46185B" w:rsidR="00983B46" w:rsidRPr="00983B46" w:rsidRDefault="00983B46" w:rsidP="00983B46">
      <w:pPr>
        <w:tabs>
          <w:tab w:val="left" w:pos="383"/>
        </w:tabs>
        <w:spacing w:after="0"/>
        <w:jc w:val="both"/>
        <w:rPr>
          <w:bCs/>
          <w:sz w:val="24"/>
          <w:szCs w:val="24"/>
        </w:rPr>
      </w:pPr>
      <w:r>
        <w:rPr>
          <w:b/>
          <w:sz w:val="24"/>
          <w:szCs w:val="24"/>
        </w:rPr>
        <w:t>RE:</w:t>
      </w:r>
      <w:r>
        <w:rPr>
          <w:b/>
          <w:sz w:val="24"/>
          <w:szCs w:val="24"/>
        </w:rPr>
        <w:tab/>
      </w:r>
      <w:r>
        <w:rPr>
          <w:b/>
          <w:sz w:val="24"/>
          <w:szCs w:val="24"/>
        </w:rPr>
        <w:tab/>
      </w:r>
      <w:r>
        <w:rPr>
          <w:b/>
          <w:sz w:val="24"/>
          <w:szCs w:val="24"/>
        </w:rPr>
        <w:tab/>
      </w:r>
      <w:r w:rsidR="00C926E5">
        <w:rPr>
          <w:bCs/>
          <w:sz w:val="24"/>
          <w:szCs w:val="24"/>
        </w:rPr>
        <w:t>Mt. Vernon</w:t>
      </w:r>
      <w:r w:rsidRPr="00983B46">
        <w:rPr>
          <w:bCs/>
          <w:sz w:val="24"/>
          <w:szCs w:val="24"/>
        </w:rPr>
        <w:t xml:space="preserve"> Demand-Based Parking Meter Rate </w:t>
      </w:r>
      <w:r w:rsidR="00735FA3">
        <w:rPr>
          <w:bCs/>
          <w:sz w:val="24"/>
          <w:szCs w:val="24"/>
        </w:rPr>
        <w:t>Setting Recommendation</w:t>
      </w:r>
      <w:r w:rsidR="000F296A">
        <w:rPr>
          <w:bCs/>
          <w:sz w:val="24"/>
          <w:szCs w:val="24"/>
        </w:rPr>
        <w:t>s Round 2</w:t>
      </w:r>
    </w:p>
    <w:p w14:paraId="12B84D38" w14:textId="77777777" w:rsidR="00983B46" w:rsidRDefault="00983B46" w:rsidP="00983B46">
      <w:pPr>
        <w:tabs>
          <w:tab w:val="left" w:pos="383"/>
        </w:tabs>
        <w:spacing w:after="0"/>
        <w:jc w:val="both"/>
        <w:rPr>
          <w:b/>
          <w:sz w:val="24"/>
          <w:szCs w:val="24"/>
        </w:rPr>
      </w:pPr>
    </w:p>
    <w:p w14:paraId="018D4491" w14:textId="77777777" w:rsidR="00983B46" w:rsidRDefault="00983B46" w:rsidP="005A5740">
      <w:pPr>
        <w:spacing w:after="0"/>
        <w:jc w:val="center"/>
        <w:rPr>
          <w:b/>
          <w:sz w:val="24"/>
          <w:szCs w:val="24"/>
        </w:rPr>
      </w:pPr>
    </w:p>
    <w:p w14:paraId="113D2491" w14:textId="77777777" w:rsidR="00BA4EA7" w:rsidRDefault="00BA4EA7" w:rsidP="00BA4EA7">
      <w:pPr>
        <w:rPr>
          <w:b/>
          <w:bCs/>
          <w:sz w:val="24"/>
          <w:szCs w:val="24"/>
          <w:u w:val="single"/>
        </w:rPr>
      </w:pPr>
      <w:r>
        <w:rPr>
          <w:b/>
          <w:bCs/>
          <w:sz w:val="24"/>
          <w:szCs w:val="24"/>
          <w:u w:val="single"/>
        </w:rPr>
        <w:t>Approval Request</w:t>
      </w:r>
    </w:p>
    <w:p w14:paraId="71B089F1" w14:textId="77777777" w:rsidR="00BA4EA7" w:rsidRDefault="00BA4EA7" w:rsidP="00BA4EA7">
      <w:r>
        <w:t>PABC staff request PABC Board of Directors’ approval of the following recommendation:</w:t>
      </w:r>
    </w:p>
    <w:p w14:paraId="1CA8D664" w14:textId="53A7A293" w:rsidR="00BA4EA7" w:rsidRPr="00AC20BE" w:rsidRDefault="006E026E" w:rsidP="00BA4EA7">
      <w:pPr>
        <w:pStyle w:val="ListParagraph"/>
        <w:numPr>
          <w:ilvl w:val="0"/>
          <w:numId w:val="5"/>
        </w:numPr>
        <w:tabs>
          <w:tab w:val="left" w:pos="1080"/>
        </w:tabs>
        <w:spacing w:after="0" w:line="240" w:lineRule="auto"/>
        <w:rPr>
          <w:rFonts w:eastAsia="Times New Roman" w:cstheme="minorHAnsi"/>
        </w:rPr>
      </w:pPr>
      <w:r>
        <w:rPr>
          <w:rFonts w:eastAsia="Times New Roman" w:cstheme="minorHAnsi"/>
        </w:rPr>
        <w:t>Adjustments of on-street parking meter rates</w:t>
      </w:r>
      <w:r w:rsidR="00BA4EA7" w:rsidRPr="00AC20BE">
        <w:rPr>
          <w:rFonts w:eastAsia="Times New Roman" w:cstheme="minorHAnsi"/>
        </w:rPr>
        <w:t xml:space="preserve"> in the </w:t>
      </w:r>
      <w:r w:rsidR="00CF63DD">
        <w:rPr>
          <w:rFonts w:eastAsia="Times New Roman" w:cstheme="minorHAnsi"/>
        </w:rPr>
        <w:t>Mt. Vernon</w:t>
      </w:r>
      <w:r w:rsidR="00BA4EA7" w:rsidRPr="00AC20BE">
        <w:rPr>
          <w:rFonts w:eastAsia="Times New Roman" w:cstheme="minorHAnsi"/>
        </w:rPr>
        <w:t xml:space="preserve"> </w:t>
      </w:r>
      <w:r w:rsidR="00BA4EA7" w:rsidRPr="002F08FE">
        <w:rPr>
          <w:rFonts w:eastAsia="Times New Roman" w:cstheme="minorHAnsi"/>
        </w:rPr>
        <w:t xml:space="preserve">area </w:t>
      </w:r>
      <w:r w:rsidR="00BA4EA7" w:rsidRPr="00AC20BE">
        <w:rPr>
          <w:rFonts w:eastAsia="Times New Roman" w:cstheme="minorHAnsi"/>
        </w:rPr>
        <w:t>(defined here as t</w:t>
      </w:r>
      <w:r w:rsidR="00BA4EA7" w:rsidRPr="002F08FE">
        <w:rPr>
          <w:rFonts w:eastAsia="Times New Roman" w:cstheme="minorHAnsi"/>
        </w:rPr>
        <w:t xml:space="preserve">he area </w:t>
      </w:r>
      <w:r w:rsidR="00BA4EA7">
        <w:t xml:space="preserve">bounded by </w:t>
      </w:r>
      <w:r w:rsidR="005E1150">
        <w:t>Mt. Royal Avenue</w:t>
      </w:r>
      <w:r w:rsidR="00BA4EA7">
        <w:t xml:space="preserve"> on the north; </w:t>
      </w:r>
      <w:r w:rsidR="005E1150">
        <w:t>Franklin</w:t>
      </w:r>
      <w:r w:rsidR="00BA4EA7">
        <w:t xml:space="preserve"> Street on the south; </w:t>
      </w:r>
      <w:r w:rsidR="005E1150">
        <w:t xml:space="preserve">Eutaw Street, Martin Luther King Jr. Boulevard and Howard Street </w:t>
      </w:r>
      <w:r w:rsidR="00BA4EA7">
        <w:t>on the west</w:t>
      </w:r>
      <w:r w:rsidR="005E1150">
        <w:t>;</w:t>
      </w:r>
      <w:r w:rsidR="00BA4EA7">
        <w:t xml:space="preserve"> and </w:t>
      </w:r>
      <w:r w:rsidR="005E1150">
        <w:t>Guilford Avenue</w:t>
      </w:r>
      <w:r w:rsidR="00BA4EA7">
        <w:t xml:space="preserve"> on the east</w:t>
      </w:r>
      <w:r w:rsidR="00BA4EA7" w:rsidRPr="00AC20BE">
        <w:rPr>
          <w:rFonts w:eastAsia="Times New Roman" w:cstheme="minorHAnsi"/>
        </w:rPr>
        <w:t xml:space="preserve">) </w:t>
      </w:r>
      <w:r>
        <w:rPr>
          <w:rFonts w:eastAsia="Times New Roman" w:cstheme="minorHAnsi"/>
        </w:rPr>
        <w:t>as outlined in this memo.</w:t>
      </w:r>
    </w:p>
    <w:p w14:paraId="14358D47" w14:textId="77777777" w:rsidR="00BA4EA7" w:rsidRPr="00AC20BE" w:rsidRDefault="00BA4EA7" w:rsidP="00BA4EA7">
      <w:pPr>
        <w:numPr>
          <w:ilvl w:val="1"/>
          <w:numId w:val="4"/>
        </w:numPr>
        <w:tabs>
          <w:tab w:val="left" w:pos="1080"/>
        </w:tabs>
        <w:spacing w:after="0" w:line="240" w:lineRule="auto"/>
        <w:rPr>
          <w:rFonts w:eastAsia="Times New Roman" w:cstheme="minorHAnsi"/>
        </w:rPr>
      </w:pPr>
      <w:r w:rsidRPr="00AC20BE">
        <w:rPr>
          <w:rFonts w:eastAsia="Times New Roman" w:cstheme="minorHAnsi"/>
        </w:rPr>
        <w:t xml:space="preserve">Parking meter rates on any block </w:t>
      </w:r>
      <w:r>
        <w:rPr>
          <w:rFonts w:eastAsia="Times New Roman" w:cstheme="minorHAnsi"/>
        </w:rPr>
        <w:t>may</w:t>
      </w:r>
      <w:r w:rsidRPr="00AC20BE">
        <w:rPr>
          <w:rFonts w:eastAsia="Times New Roman" w:cstheme="minorHAnsi"/>
        </w:rPr>
        <w:t xml:space="preserve"> be adjusted up or down only in 25¢/hour increments and no more than once every 6 months.</w:t>
      </w:r>
    </w:p>
    <w:p w14:paraId="65799330" w14:textId="77777777" w:rsidR="00BA4EA7" w:rsidRPr="00AC20BE" w:rsidRDefault="00BA4EA7" w:rsidP="00BA4EA7">
      <w:pPr>
        <w:numPr>
          <w:ilvl w:val="2"/>
          <w:numId w:val="4"/>
        </w:numPr>
        <w:tabs>
          <w:tab w:val="left" w:pos="1080"/>
        </w:tabs>
        <w:spacing w:after="0" w:line="240" w:lineRule="auto"/>
        <w:rPr>
          <w:rFonts w:eastAsia="Times New Roman" w:cstheme="minorHAnsi"/>
        </w:rPr>
      </w:pPr>
      <w:r w:rsidRPr="00AC20BE">
        <w:rPr>
          <w:rFonts w:eastAsia="Times New Roman" w:cstheme="minorHAnsi"/>
        </w:rPr>
        <w:t xml:space="preserve">If occupancy is higher than 85% in a particular block, then the parking meter rate </w:t>
      </w:r>
      <w:r>
        <w:rPr>
          <w:rFonts w:eastAsia="Times New Roman" w:cstheme="minorHAnsi"/>
        </w:rPr>
        <w:t>may</w:t>
      </w:r>
      <w:r w:rsidRPr="00AC20BE">
        <w:rPr>
          <w:rFonts w:eastAsia="Times New Roman" w:cstheme="minorHAnsi"/>
        </w:rPr>
        <w:t xml:space="preserve"> be adjusted upward incrementally and slowly until occupancy hits 85%.</w:t>
      </w:r>
    </w:p>
    <w:p w14:paraId="041093B3" w14:textId="77777777" w:rsidR="00BA4EA7" w:rsidRPr="00AC20BE" w:rsidRDefault="00BA4EA7" w:rsidP="00BA4EA7">
      <w:pPr>
        <w:numPr>
          <w:ilvl w:val="2"/>
          <w:numId w:val="4"/>
        </w:numPr>
        <w:tabs>
          <w:tab w:val="left" w:pos="1080"/>
        </w:tabs>
        <w:spacing w:after="0" w:line="240" w:lineRule="auto"/>
        <w:rPr>
          <w:rFonts w:eastAsia="Times New Roman" w:cstheme="minorHAnsi"/>
        </w:rPr>
      </w:pPr>
      <w:bookmarkStart w:id="0" w:name="_Hlk62136717"/>
      <w:r w:rsidRPr="00AC20BE">
        <w:rPr>
          <w:rFonts w:eastAsia="Times New Roman" w:cstheme="minorHAnsi"/>
        </w:rPr>
        <w:t xml:space="preserve">If occupancy is lower than 75% in a particular block, then the parking meter rate </w:t>
      </w:r>
      <w:r>
        <w:rPr>
          <w:rFonts w:eastAsia="Times New Roman" w:cstheme="minorHAnsi"/>
        </w:rPr>
        <w:t>may</w:t>
      </w:r>
      <w:r w:rsidRPr="00AC20BE">
        <w:rPr>
          <w:rFonts w:eastAsia="Times New Roman" w:cstheme="minorHAnsi"/>
        </w:rPr>
        <w:t xml:space="preserve"> be adjusted downward incrementally and slowly until occupancy hits </w:t>
      </w:r>
      <w:r>
        <w:rPr>
          <w:rFonts w:eastAsia="Times New Roman" w:cstheme="minorHAnsi"/>
        </w:rPr>
        <w:t>7</w:t>
      </w:r>
      <w:r w:rsidRPr="00AC20BE">
        <w:rPr>
          <w:rFonts w:eastAsia="Times New Roman" w:cstheme="minorHAnsi"/>
        </w:rPr>
        <w:t>5%.</w:t>
      </w:r>
    </w:p>
    <w:bookmarkEnd w:id="0"/>
    <w:p w14:paraId="0AFEE5CA" w14:textId="3DD52BFF" w:rsidR="00BA4EA7" w:rsidRDefault="00BA4EA7" w:rsidP="00BA4EA7">
      <w:pPr>
        <w:numPr>
          <w:ilvl w:val="2"/>
          <w:numId w:val="4"/>
        </w:numPr>
        <w:tabs>
          <w:tab w:val="left" w:pos="1080"/>
        </w:tabs>
        <w:spacing w:after="0" w:line="240" w:lineRule="auto"/>
        <w:rPr>
          <w:rFonts w:eastAsia="Times New Roman" w:cstheme="minorHAnsi"/>
        </w:rPr>
      </w:pPr>
      <w:r w:rsidRPr="00AC20BE">
        <w:rPr>
          <w:rFonts w:eastAsia="Times New Roman" w:cstheme="minorHAnsi"/>
        </w:rPr>
        <w:t>If occupancy is between 75% and 85%, then the parking meter rate will not be adjusted.</w:t>
      </w:r>
    </w:p>
    <w:p w14:paraId="3605B0FA" w14:textId="722F0024" w:rsidR="00CB7AC2" w:rsidRDefault="00CB7AC2" w:rsidP="00CB7AC2">
      <w:pPr>
        <w:numPr>
          <w:ilvl w:val="1"/>
          <w:numId w:val="4"/>
        </w:numPr>
        <w:tabs>
          <w:tab w:val="left" w:pos="1080"/>
        </w:tabs>
        <w:spacing w:after="0" w:line="240" w:lineRule="auto"/>
        <w:rPr>
          <w:rFonts w:eastAsia="Times New Roman" w:cstheme="minorHAnsi"/>
        </w:rPr>
      </w:pPr>
      <w:r>
        <w:rPr>
          <w:rFonts w:eastAsia="Times New Roman" w:cstheme="minorHAnsi"/>
        </w:rPr>
        <w:t xml:space="preserve">Each parking meter rate adjustment within </w:t>
      </w:r>
      <w:r w:rsidR="005E1150">
        <w:rPr>
          <w:rFonts w:eastAsia="Times New Roman" w:cstheme="minorHAnsi"/>
        </w:rPr>
        <w:t>Mt. Vernon</w:t>
      </w:r>
      <w:r>
        <w:rPr>
          <w:rFonts w:eastAsia="Times New Roman" w:cstheme="minorHAnsi"/>
        </w:rPr>
        <w:t xml:space="preserve"> will be reviewed and approved by the Board of Directors of the Parking Authority prior to the implementation. </w:t>
      </w:r>
    </w:p>
    <w:p w14:paraId="12D8E6EF" w14:textId="0AD981B7" w:rsidR="00CB7AC2" w:rsidRPr="00CB7AC2" w:rsidRDefault="00CB7AC2" w:rsidP="00CB7AC2">
      <w:pPr>
        <w:numPr>
          <w:ilvl w:val="1"/>
          <w:numId w:val="4"/>
        </w:numPr>
        <w:tabs>
          <w:tab w:val="left" w:pos="1080"/>
        </w:tabs>
        <w:spacing w:after="0" w:line="240" w:lineRule="auto"/>
        <w:rPr>
          <w:rFonts w:eastAsia="Times New Roman" w:cstheme="minorHAnsi"/>
        </w:rPr>
      </w:pPr>
      <w:r>
        <w:rPr>
          <w:rFonts w:eastAsia="Times New Roman" w:cstheme="minorHAnsi"/>
        </w:rPr>
        <w:t xml:space="preserve">Notice of each parking meter rate adjustment within </w:t>
      </w:r>
      <w:r w:rsidR="005E1150">
        <w:rPr>
          <w:rFonts w:eastAsia="Times New Roman" w:cstheme="minorHAnsi"/>
        </w:rPr>
        <w:t>Mt. Vernon</w:t>
      </w:r>
      <w:r>
        <w:rPr>
          <w:rFonts w:eastAsia="Times New Roman" w:cstheme="minorHAnsi"/>
        </w:rPr>
        <w:t xml:space="preserve"> will be sent to the </w:t>
      </w:r>
      <w:proofErr w:type="gramStart"/>
      <w:r>
        <w:rPr>
          <w:rFonts w:eastAsia="Times New Roman" w:cstheme="minorHAnsi"/>
        </w:rPr>
        <w:t>District</w:t>
      </w:r>
      <w:proofErr w:type="gramEnd"/>
      <w:r>
        <w:rPr>
          <w:rFonts w:eastAsia="Times New Roman" w:cstheme="minorHAnsi"/>
        </w:rPr>
        <w:t xml:space="preserve"> </w:t>
      </w:r>
      <w:r w:rsidR="005E1150">
        <w:rPr>
          <w:rFonts w:eastAsia="Times New Roman" w:cstheme="minorHAnsi"/>
        </w:rPr>
        <w:t>1</w:t>
      </w:r>
      <w:r>
        <w:rPr>
          <w:rFonts w:eastAsia="Times New Roman" w:cstheme="minorHAnsi"/>
        </w:rPr>
        <w:t>1</w:t>
      </w:r>
      <w:r w:rsidR="005E1150">
        <w:rPr>
          <w:rFonts w:eastAsia="Times New Roman" w:cstheme="minorHAnsi"/>
        </w:rPr>
        <w:t xml:space="preserve"> and 12</w:t>
      </w:r>
      <w:r>
        <w:rPr>
          <w:rFonts w:eastAsia="Times New Roman" w:cstheme="minorHAnsi"/>
        </w:rPr>
        <w:t xml:space="preserve"> Council Member</w:t>
      </w:r>
      <w:r w:rsidR="005E1150">
        <w:rPr>
          <w:rFonts w:eastAsia="Times New Roman" w:cstheme="minorHAnsi"/>
        </w:rPr>
        <w:t>s</w:t>
      </w:r>
      <w:r>
        <w:rPr>
          <w:rFonts w:eastAsia="Times New Roman" w:cstheme="minorHAnsi"/>
        </w:rPr>
        <w:t xml:space="preserve"> at least one month prior to implementation. </w:t>
      </w:r>
    </w:p>
    <w:p w14:paraId="7F6336B2" w14:textId="0D045DE9" w:rsidR="00DF59F3" w:rsidRPr="00A266B5" w:rsidRDefault="005E1150" w:rsidP="00BA4EA7">
      <w:pPr>
        <w:numPr>
          <w:ilvl w:val="0"/>
          <w:numId w:val="4"/>
        </w:numPr>
        <w:tabs>
          <w:tab w:val="left" w:pos="1080"/>
        </w:tabs>
        <w:spacing w:after="0" w:line="240" w:lineRule="auto"/>
        <w:rPr>
          <w:rFonts w:eastAsia="Times New Roman" w:cstheme="minorHAnsi"/>
        </w:rPr>
      </w:pPr>
      <w:r w:rsidRPr="00A266B5">
        <w:rPr>
          <w:rFonts w:eastAsia="Times New Roman" w:cstheme="minorHAnsi"/>
        </w:rPr>
        <w:t xml:space="preserve">Adjustment of </w:t>
      </w:r>
      <w:r w:rsidR="00DF59F3" w:rsidRPr="00A266B5">
        <w:rPr>
          <w:rFonts w:eastAsia="Times New Roman" w:cstheme="minorHAnsi"/>
        </w:rPr>
        <w:t>parking meter</w:t>
      </w:r>
      <w:r w:rsidRPr="00A266B5">
        <w:rPr>
          <w:rFonts w:eastAsia="Times New Roman" w:cstheme="minorHAnsi"/>
        </w:rPr>
        <w:t xml:space="preserve"> in-effect times in Mt. Vernon</w:t>
      </w:r>
      <w:r w:rsidR="00DF59F3" w:rsidRPr="00A266B5">
        <w:rPr>
          <w:rFonts w:eastAsia="Times New Roman" w:cstheme="minorHAnsi"/>
        </w:rPr>
        <w:t xml:space="preserve"> as outlined in </w:t>
      </w:r>
      <w:r w:rsidRPr="00A266B5">
        <w:rPr>
          <w:rFonts w:eastAsia="Times New Roman" w:cstheme="minorHAnsi"/>
        </w:rPr>
        <w:t>this</w:t>
      </w:r>
      <w:r w:rsidR="00DF59F3" w:rsidRPr="00A266B5">
        <w:rPr>
          <w:rFonts w:eastAsia="Times New Roman" w:cstheme="minorHAnsi"/>
        </w:rPr>
        <w:t xml:space="preserve"> memo.</w:t>
      </w:r>
    </w:p>
    <w:p w14:paraId="7B935FED" w14:textId="52D4BB75" w:rsidR="00A266B5" w:rsidRPr="00EA6362" w:rsidRDefault="006E026E" w:rsidP="00BA4EA7">
      <w:pPr>
        <w:numPr>
          <w:ilvl w:val="0"/>
          <w:numId w:val="4"/>
        </w:numPr>
        <w:tabs>
          <w:tab w:val="left" w:pos="1080"/>
        </w:tabs>
        <w:spacing w:after="0" w:line="240" w:lineRule="auto"/>
        <w:rPr>
          <w:rFonts w:eastAsia="Times New Roman" w:cstheme="minorHAnsi"/>
        </w:rPr>
      </w:pPr>
      <w:r>
        <w:rPr>
          <w:rFonts w:eastAsia="Times New Roman" w:cstheme="minorHAnsi"/>
        </w:rPr>
        <w:t>Commencement</w:t>
      </w:r>
      <w:r w:rsidR="00A266B5">
        <w:rPr>
          <w:rFonts w:eastAsia="Times New Roman" w:cstheme="minorHAnsi"/>
        </w:rPr>
        <w:t xml:space="preserve"> of metering 200 E Mt Royal N/S and 800 N Calvert E/S</w:t>
      </w:r>
      <w:r>
        <w:rPr>
          <w:rFonts w:eastAsia="Times New Roman" w:cstheme="minorHAnsi"/>
        </w:rPr>
        <w:t xml:space="preserve"> as outlined in this memo</w:t>
      </w:r>
      <w:r w:rsidR="00A266B5">
        <w:rPr>
          <w:rFonts w:eastAsia="Times New Roman" w:cstheme="minorHAnsi"/>
        </w:rPr>
        <w:t>.</w:t>
      </w:r>
    </w:p>
    <w:p w14:paraId="545033EF" w14:textId="77777777" w:rsidR="00BA4EA7" w:rsidRDefault="00BA4EA7" w:rsidP="00AB6366">
      <w:pPr>
        <w:ind w:left="180"/>
        <w:rPr>
          <w:b/>
          <w:bCs/>
          <w:sz w:val="24"/>
          <w:szCs w:val="24"/>
          <w:u w:val="single"/>
        </w:rPr>
      </w:pPr>
    </w:p>
    <w:p w14:paraId="07B268EF" w14:textId="77777777" w:rsidR="002F7D48" w:rsidRDefault="002F7D48" w:rsidP="00AB6366">
      <w:pPr>
        <w:ind w:left="180"/>
        <w:rPr>
          <w:b/>
          <w:bCs/>
          <w:sz w:val="24"/>
          <w:szCs w:val="24"/>
          <w:u w:val="single"/>
        </w:rPr>
      </w:pPr>
    </w:p>
    <w:p w14:paraId="0693F586" w14:textId="77777777" w:rsidR="002F7D48" w:rsidRDefault="002F7D48" w:rsidP="00AB6366">
      <w:pPr>
        <w:ind w:left="180"/>
        <w:rPr>
          <w:b/>
          <w:bCs/>
          <w:sz w:val="24"/>
          <w:szCs w:val="24"/>
          <w:u w:val="single"/>
        </w:rPr>
      </w:pPr>
    </w:p>
    <w:p w14:paraId="07E83AC6" w14:textId="62703AFD" w:rsidR="00AB6366" w:rsidRPr="001E5EB1" w:rsidRDefault="00BA4EA7" w:rsidP="00AB6366">
      <w:pPr>
        <w:ind w:left="180"/>
        <w:rPr>
          <w:b/>
          <w:bCs/>
          <w:sz w:val="24"/>
          <w:szCs w:val="24"/>
          <w:u w:val="single"/>
        </w:rPr>
      </w:pPr>
      <w:r>
        <w:rPr>
          <w:b/>
          <w:bCs/>
          <w:sz w:val="24"/>
          <w:szCs w:val="24"/>
          <w:u w:val="single"/>
        </w:rPr>
        <w:t>Background</w:t>
      </w:r>
    </w:p>
    <w:p w14:paraId="4D058D74" w14:textId="4FEEB709" w:rsidR="005A5740" w:rsidRDefault="00F8071D" w:rsidP="00841FEF">
      <w:pPr>
        <w:ind w:left="180"/>
      </w:pPr>
      <w:r>
        <w:t>The goal of</w:t>
      </w:r>
      <w:r w:rsidR="00E053EB">
        <w:t xml:space="preserve"> </w:t>
      </w:r>
      <w:r>
        <w:t>parking meter</w:t>
      </w:r>
      <w:r w:rsidR="00E053EB">
        <w:t>s</w:t>
      </w:r>
      <w:r>
        <w:t xml:space="preserve"> is to create </w:t>
      </w:r>
      <w:r w:rsidR="00E053EB">
        <w:t xml:space="preserve">on-street </w:t>
      </w:r>
      <w:r>
        <w:t>parking</w:t>
      </w:r>
      <w:r w:rsidR="00E053EB">
        <w:t xml:space="preserve"> availability</w:t>
      </w:r>
      <w:r w:rsidR="00D82484">
        <w:t>,</w:t>
      </w:r>
      <w:r>
        <w:t xml:space="preserve"> so that </w:t>
      </w:r>
      <w:r w:rsidR="00C42998">
        <w:t>customers</w:t>
      </w:r>
      <w:r>
        <w:t xml:space="preserve"> of </w:t>
      </w:r>
      <w:r w:rsidR="00C42998">
        <w:t>stores</w:t>
      </w:r>
      <w:r w:rsidR="00A56CBA">
        <w:t>,</w:t>
      </w:r>
      <w:r>
        <w:t xml:space="preserve"> restaurants</w:t>
      </w:r>
      <w:r w:rsidR="00A56CBA">
        <w:t>,</w:t>
      </w:r>
      <w:r>
        <w:t xml:space="preserve"> and attractions</w:t>
      </w:r>
      <w:r w:rsidR="00C42998">
        <w:t xml:space="preserve"> </w:t>
      </w:r>
      <w:r>
        <w:t xml:space="preserve">can </w:t>
      </w:r>
      <w:r w:rsidR="00C42998">
        <w:t xml:space="preserve">easily </w:t>
      </w:r>
      <w:r>
        <w:t xml:space="preserve">find a parking space </w:t>
      </w:r>
      <w:r w:rsidR="00C42998">
        <w:t>near</w:t>
      </w:r>
      <w:r>
        <w:t xml:space="preserve"> their destination. </w:t>
      </w:r>
      <w:r w:rsidR="00C57934">
        <w:t>This</w:t>
      </w:r>
      <w:r w:rsidR="00C42998">
        <w:t xml:space="preserve"> goal</w:t>
      </w:r>
      <w:r w:rsidR="00C57934">
        <w:t xml:space="preserve"> is achieved through setting</w:t>
      </w:r>
      <w:r w:rsidR="00E053EB">
        <w:t xml:space="preserve"> </w:t>
      </w:r>
      <w:r>
        <w:t xml:space="preserve">parking meters </w:t>
      </w:r>
      <w:r w:rsidR="00F44C9D">
        <w:t xml:space="preserve">at the lowest </w:t>
      </w:r>
      <w:r w:rsidR="00C57934">
        <w:t xml:space="preserve">rate </w:t>
      </w:r>
      <w:r>
        <w:t xml:space="preserve">that </w:t>
      </w:r>
      <w:r w:rsidR="00C42998">
        <w:t>result in</w:t>
      </w:r>
      <w:r>
        <w:t xml:space="preserve"> one or two available parking spaces on each block face (</w:t>
      </w:r>
      <w:r w:rsidR="00E053EB">
        <w:t xml:space="preserve">about </w:t>
      </w:r>
      <w:r w:rsidRPr="00B20C8B">
        <w:rPr>
          <w:b/>
          <w:bCs/>
          <w:i/>
          <w:iCs/>
        </w:rPr>
        <w:t>15</w:t>
      </w:r>
      <w:r w:rsidR="00E053EB" w:rsidRPr="00B20C8B">
        <w:rPr>
          <w:b/>
          <w:bCs/>
          <w:i/>
          <w:iCs/>
        </w:rPr>
        <w:t>%</w:t>
      </w:r>
      <w:r w:rsidR="003435B5">
        <w:t xml:space="preserve"> - </w:t>
      </w:r>
      <w:r w:rsidRPr="00B20C8B">
        <w:rPr>
          <w:b/>
          <w:bCs/>
          <w:i/>
          <w:iCs/>
        </w:rPr>
        <w:t>25%</w:t>
      </w:r>
      <w:r>
        <w:t xml:space="preserve"> availability</w:t>
      </w:r>
      <w:r w:rsidR="00A56CBA">
        <w:t>,</w:t>
      </w:r>
      <w:r>
        <w:t xml:space="preserve"> or </w:t>
      </w:r>
      <w:r w:rsidR="00E053EB">
        <w:t xml:space="preserve">about </w:t>
      </w:r>
      <w:r w:rsidRPr="00B20C8B">
        <w:rPr>
          <w:b/>
          <w:bCs/>
          <w:i/>
          <w:iCs/>
        </w:rPr>
        <w:t>75</w:t>
      </w:r>
      <w:r w:rsidR="00E053EB" w:rsidRPr="00B20C8B">
        <w:rPr>
          <w:b/>
          <w:bCs/>
          <w:i/>
          <w:iCs/>
        </w:rPr>
        <w:t>%</w:t>
      </w:r>
      <w:r w:rsidR="003435B5">
        <w:t xml:space="preserve"> - </w:t>
      </w:r>
      <w:r w:rsidRPr="00B20C8B">
        <w:rPr>
          <w:b/>
          <w:bCs/>
          <w:i/>
          <w:iCs/>
        </w:rPr>
        <w:t>85%</w:t>
      </w:r>
      <w:r>
        <w:t xml:space="preserve"> </w:t>
      </w:r>
      <w:r w:rsidR="00633CD5">
        <w:t>utilization</w:t>
      </w:r>
      <w:r>
        <w:t>).</w:t>
      </w:r>
      <w:r w:rsidR="00CC1A94">
        <w:t xml:space="preserve"> </w:t>
      </w:r>
      <w:r w:rsidR="00C57934">
        <w:t>When meter rates are too low,</w:t>
      </w:r>
      <w:r w:rsidR="00B1723F">
        <w:t xml:space="preserve"> demand for parking goes up and </w:t>
      </w:r>
      <w:r w:rsidR="00C57934">
        <w:t xml:space="preserve">a block may be overparked. When meter rates are too high, </w:t>
      </w:r>
      <w:r w:rsidR="00DC7021">
        <w:t>fewer drivers are willing to pay the rate</w:t>
      </w:r>
      <w:r w:rsidR="00B1723F">
        <w:t xml:space="preserve"> and </w:t>
      </w:r>
      <w:r w:rsidR="00C57934">
        <w:t xml:space="preserve">a block may be underutilized. </w:t>
      </w:r>
      <w:r w:rsidR="00DA66BB">
        <w:t>Effective metering that results in one or two available spaces per block reduces the number of cars circling to find parking</w:t>
      </w:r>
      <w:r w:rsidR="00C535E2">
        <w:t>. That means</w:t>
      </w:r>
      <w:r w:rsidR="00DA66BB">
        <w:t xml:space="preserve"> drivers benefit from greater convenience, </w:t>
      </w:r>
      <w:r w:rsidR="009E1531">
        <w:t>and</w:t>
      </w:r>
      <w:r w:rsidR="00DA66BB">
        <w:t xml:space="preserve"> the whole </w:t>
      </w:r>
      <w:r w:rsidR="00E31EBF">
        <w:t>C</w:t>
      </w:r>
      <w:r w:rsidR="00DA66BB">
        <w:t xml:space="preserve">ity benefits from reduced congestion, </w:t>
      </w:r>
      <w:r w:rsidR="00D82484">
        <w:t>lower</w:t>
      </w:r>
      <w:r w:rsidR="00DA66BB">
        <w:t xml:space="preserve"> emissions, and </w:t>
      </w:r>
      <w:r w:rsidR="009E1531">
        <w:t>reduced</w:t>
      </w:r>
      <w:r w:rsidR="00DA66BB">
        <w:t xml:space="preserve"> fossil fuel usage. </w:t>
      </w:r>
      <w:r w:rsidR="009577E5" w:rsidRPr="00A266B5">
        <w:t>Currently, the PABC is</w:t>
      </w:r>
      <w:r w:rsidR="00CC1A94" w:rsidRPr="00A266B5">
        <w:t xml:space="preserve"> </w:t>
      </w:r>
      <w:r w:rsidR="009E1531">
        <w:t>using</w:t>
      </w:r>
      <w:r w:rsidR="00330786" w:rsidRPr="00A266B5">
        <w:t xml:space="preserve"> </w:t>
      </w:r>
      <w:r w:rsidR="00CC1A94" w:rsidRPr="00A266B5">
        <w:t>the demand-based pricing model</w:t>
      </w:r>
      <w:r w:rsidR="009577E5" w:rsidRPr="00A266B5">
        <w:t xml:space="preserve"> in the Central Business District, Harbor East, Federal Hill, Fells Point, and Mt. Vernon</w:t>
      </w:r>
      <w:r w:rsidR="00CC1A94" w:rsidRPr="00A266B5">
        <w:t>.</w:t>
      </w:r>
      <w:r w:rsidR="00CC1A94">
        <w:t xml:space="preserve"> </w:t>
      </w:r>
      <w:r>
        <w:t xml:space="preserve"> </w:t>
      </w:r>
    </w:p>
    <w:p w14:paraId="57FABB2B" w14:textId="4F829AA4" w:rsidR="008B252A" w:rsidRDefault="00C57934" w:rsidP="00841FEF">
      <w:pPr>
        <w:ind w:left="180"/>
      </w:pPr>
      <w:r>
        <w:t xml:space="preserve">Determining </w:t>
      </w:r>
      <w:r w:rsidR="00F44C9D">
        <w:t xml:space="preserve">the lowest </w:t>
      </w:r>
      <w:r>
        <w:t xml:space="preserve">meter rates </w:t>
      </w:r>
      <w:r w:rsidR="000931C7">
        <w:t xml:space="preserve">that result in one or two available spaces </w:t>
      </w:r>
      <w:r>
        <w:t>is an iterative process</w:t>
      </w:r>
      <w:r w:rsidR="000931C7">
        <w:t xml:space="preserve"> based on collecting</w:t>
      </w:r>
      <w:r w:rsidR="00B618DC">
        <w:t xml:space="preserve"> and analyzing</w:t>
      </w:r>
      <w:r w:rsidR="000931C7">
        <w:t xml:space="preserve"> data</w:t>
      </w:r>
      <w:r w:rsidR="00DA66BB">
        <w:t xml:space="preserve"> and altering rates incrementally</w:t>
      </w:r>
      <w:r w:rsidR="000931C7">
        <w:t>.</w:t>
      </w:r>
      <w:r>
        <w:t xml:space="preserve"> </w:t>
      </w:r>
      <w:r w:rsidR="00F635AB">
        <w:t xml:space="preserve">To determine the correct meter rates, the Parking Authority of Baltimore City (PABC) collects and analyzes parking utilization data </w:t>
      </w:r>
      <w:r w:rsidR="00DF59F3" w:rsidRPr="00E7187B">
        <w:t>no more than twice</w:t>
      </w:r>
      <w:r w:rsidR="00F635AB" w:rsidRPr="00E7187B">
        <w:t xml:space="preserve"> per year</w:t>
      </w:r>
      <w:r w:rsidR="00F635AB">
        <w:t xml:space="preserve"> in </w:t>
      </w:r>
      <w:r w:rsidR="009577E5">
        <w:t>Mt. Vernon</w:t>
      </w:r>
      <w:r w:rsidR="00F635AB">
        <w:t>.</w:t>
      </w:r>
      <w:r w:rsidR="00592C48">
        <w:t xml:space="preserve"> </w:t>
      </w:r>
      <w:r w:rsidR="00F635AB">
        <w:t>R</w:t>
      </w:r>
      <w:r w:rsidR="00F8071D">
        <w:t xml:space="preserve">ates </w:t>
      </w:r>
      <w:r w:rsidR="00F635AB">
        <w:t>are</w:t>
      </w:r>
      <w:r w:rsidR="00592C48">
        <w:t xml:space="preserve"> </w:t>
      </w:r>
      <w:r w:rsidR="00F8071D">
        <w:t>adjus</w:t>
      </w:r>
      <w:r w:rsidR="00C42998">
        <w:t>ted</w:t>
      </w:r>
      <w:r w:rsidR="00F8071D">
        <w:t xml:space="preserve"> in </w:t>
      </w:r>
      <w:r w:rsidR="00E053EB" w:rsidRPr="00B20C8B">
        <w:rPr>
          <w:b/>
          <w:bCs/>
          <w:i/>
          <w:iCs/>
        </w:rPr>
        <w:t>$0.25</w:t>
      </w:r>
      <w:r w:rsidR="00E053EB">
        <w:t xml:space="preserve"> </w:t>
      </w:r>
      <w:r w:rsidR="00F8071D">
        <w:t xml:space="preserve">increments </w:t>
      </w:r>
      <w:r w:rsidR="00A636FC">
        <w:t>after each parking demand study</w:t>
      </w:r>
      <w:r w:rsidR="009E1531">
        <w:t xml:space="preserve"> if the </w:t>
      </w:r>
      <w:proofErr w:type="spellStart"/>
      <w:r w:rsidR="009E1531">
        <w:t>blockface</w:t>
      </w:r>
      <w:proofErr w:type="spellEnd"/>
      <w:r w:rsidR="009E1531">
        <w:t xml:space="preserve"> is not in the desired range</w:t>
      </w:r>
      <w:r w:rsidR="00734510">
        <w:t xml:space="preserve">. </w:t>
      </w:r>
      <w:r w:rsidR="00F8071D">
        <w:t xml:space="preserve">If </w:t>
      </w:r>
      <w:r w:rsidR="00E053EB">
        <w:t xml:space="preserve">on-street parking </w:t>
      </w:r>
      <w:r w:rsidR="00F8071D">
        <w:t xml:space="preserve">occupancy is higher than </w:t>
      </w:r>
      <w:r w:rsidR="00F8071D" w:rsidRPr="00B20C8B">
        <w:rPr>
          <w:b/>
          <w:bCs/>
          <w:i/>
          <w:iCs/>
        </w:rPr>
        <w:t>85%</w:t>
      </w:r>
      <w:r w:rsidR="00F8071D">
        <w:t xml:space="preserve"> </w:t>
      </w:r>
      <w:r w:rsidR="00E053EB">
        <w:t>on</w:t>
      </w:r>
      <w:r w:rsidR="00F8071D">
        <w:t xml:space="preserve"> a </w:t>
      </w:r>
      <w:r w:rsidR="00E053EB">
        <w:t>block</w:t>
      </w:r>
      <w:r w:rsidR="00592FD1">
        <w:t xml:space="preserve"> face</w:t>
      </w:r>
      <w:r w:rsidR="00B618DC">
        <w:t>,</w:t>
      </w:r>
      <w:r w:rsidR="005A5740">
        <w:t xml:space="preserve"> </w:t>
      </w:r>
      <w:r w:rsidR="00F8071D">
        <w:t xml:space="preserve">the rate </w:t>
      </w:r>
      <w:r w:rsidR="005A5740">
        <w:t xml:space="preserve">generally </w:t>
      </w:r>
      <w:r w:rsidR="00E053EB">
        <w:t>increases</w:t>
      </w:r>
      <w:r w:rsidR="00F8071D">
        <w:t>.</w:t>
      </w:r>
      <w:r w:rsidR="008B252A">
        <w:t xml:space="preserve"> </w:t>
      </w:r>
      <w:r w:rsidR="00F8071D">
        <w:t xml:space="preserve">If </w:t>
      </w:r>
      <w:r w:rsidR="00E053EB">
        <w:t xml:space="preserve">on-street parking </w:t>
      </w:r>
      <w:r w:rsidR="00F8071D">
        <w:t xml:space="preserve">occupancy is lower than </w:t>
      </w:r>
      <w:r w:rsidR="00F8071D" w:rsidRPr="00B20C8B">
        <w:rPr>
          <w:b/>
          <w:bCs/>
          <w:i/>
          <w:iCs/>
        </w:rPr>
        <w:t>75%</w:t>
      </w:r>
      <w:r w:rsidR="00F8071D">
        <w:t xml:space="preserve"> </w:t>
      </w:r>
      <w:r w:rsidR="00E053EB">
        <w:t xml:space="preserve">on a </w:t>
      </w:r>
      <w:r w:rsidR="00F8071D">
        <w:t>block</w:t>
      </w:r>
      <w:r w:rsidR="00592FD1">
        <w:t xml:space="preserve"> face</w:t>
      </w:r>
      <w:r w:rsidR="00B618DC">
        <w:t>,</w:t>
      </w:r>
      <w:r w:rsidR="005A5740">
        <w:t xml:space="preserve"> </w:t>
      </w:r>
      <w:r w:rsidR="00F8071D">
        <w:t xml:space="preserve">the rate </w:t>
      </w:r>
      <w:r w:rsidR="005A5740">
        <w:t xml:space="preserve">generally </w:t>
      </w:r>
      <w:r w:rsidR="00E053EB">
        <w:t>decreases</w:t>
      </w:r>
      <w:r w:rsidR="00F8071D">
        <w:t>.</w:t>
      </w:r>
      <w:r w:rsidR="008B252A">
        <w:t xml:space="preserve"> </w:t>
      </w:r>
      <w:r w:rsidR="00F8071D">
        <w:t xml:space="preserve">If </w:t>
      </w:r>
      <w:r w:rsidR="005A5740">
        <w:t xml:space="preserve">on-street parking </w:t>
      </w:r>
      <w:r w:rsidR="00F8071D">
        <w:t xml:space="preserve">occupancy is between </w:t>
      </w:r>
      <w:r w:rsidR="00F8071D" w:rsidRPr="00B20C8B">
        <w:rPr>
          <w:b/>
          <w:bCs/>
          <w:i/>
          <w:iCs/>
        </w:rPr>
        <w:t>75%</w:t>
      </w:r>
      <w:r w:rsidR="00F8071D">
        <w:t xml:space="preserve"> and </w:t>
      </w:r>
      <w:r w:rsidR="00F8071D" w:rsidRPr="00B20C8B">
        <w:rPr>
          <w:b/>
          <w:bCs/>
          <w:i/>
          <w:iCs/>
        </w:rPr>
        <w:t>85%</w:t>
      </w:r>
      <w:r w:rsidR="00E053EB">
        <w:t xml:space="preserve"> on a block</w:t>
      </w:r>
      <w:r w:rsidR="00592FD1">
        <w:t xml:space="preserve"> face</w:t>
      </w:r>
      <w:r w:rsidR="00B618DC">
        <w:t>,</w:t>
      </w:r>
      <w:r w:rsidR="005A5740">
        <w:t xml:space="preserve"> </w:t>
      </w:r>
      <w:r w:rsidR="00F8071D">
        <w:t xml:space="preserve">the rate </w:t>
      </w:r>
      <w:r w:rsidR="005A5740">
        <w:t xml:space="preserve">generally </w:t>
      </w:r>
      <w:r w:rsidR="00E053EB">
        <w:t>is maintained</w:t>
      </w:r>
      <w:r w:rsidR="00F8071D">
        <w:t>.</w:t>
      </w:r>
      <w:r w:rsidR="005A5740">
        <w:t xml:space="preserve"> </w:t>
      </w:r>
    </w:p>
    <w:p w14:paraId="02B335B3" w14:textId="5C06998D" w:rsidR="009515AC" w:rsidRPr="00C42998" w:rsidRDefault="009515AC" w:rsidP="00841FEF">
      <w:pPr>
        <w:ind w:left="180"/>
      </w:pPr>
      <w:r w:rsidRPr="009515AC">
        <w:t xml:space="preserve">Data from Round </w:t>
      </w:r>
      <w:r w:rsidR="009D4B8A">
        <w:t>2</w:t>
      </w:r>
      <w:r w:rsidRPr="009515AC">
        <w:t xml:space="preserve"> of the PABC’s </w:t>
      </w:r>
      <w:r w:rsidR="009577E5">
        <w:t>Mt. Vernon</w:t>
      </w:r>
      <w:r w:rsidRPr="009515AC">
        <w:t xml:space="preserve"> demand-based parking meter rate adjustments study was collected in </w:t>
      </w:r>
      <w:r w:rsidR="009577E5">
        <w:t>October and November of</w:t>
      </w:r>
      <w:r w:rsidR="009D4B8A">
        <w:t xml:space="preserve"> 2022</w:t>
      </w:r>
      <w:r w:rsidRPr="009515AC">
        <w:t xml:space="preserve">. </w:t>
      </w:r>
      <w:r w:rsidR="001D5361">
        <w:t xml:space="preserve">The </w:t>
      </w:r>
      <w:r w:rsidRPr="009515AC">
        <w:t xml:space="preserve">PABC first determined the parking capacity of each block face included in the study area. Then the number of cars parked was counted at different times of the day and evening, for both weekdays and </w:t>
      </w:r>
      <w:r w:rsidR="006553FF">
        <w:t>Saturdays</w:t>
      </w:r>
      <w:r w:rsidRPr="009515AC">
        <w:t>. The data was compiled and analyzed to determine a utilization rate (average percentage of the block’s capacity that is parked).</w:t>
      </w:r>
    </w:p>
    <w:p w14:paraId="56792F41" w14:textId="4C6CFDB6" w:rsidR="000A2552" w:rsidRDefault="00600BAE" w:rsidP="006553FF">
      <w:pPr>
        <w:ind w:left="180"/>
      </w:pPr>
      <w:r>
        <w:t xml:space="preserve">Parking behaviors have likely been impacted </w:t>
      </w:r>
      <w:r w:rsidR="005C4EFA">
        <w:t>because</w:t>
      </w:r>
      <w:r>
        <w:t xml:space="preserve"> of </w:t>
      </w:r>
      <w:r w:rsidR="001E7EB3">
        <w:t xml:space="preserve">COVID-19. </w:t>
      </w:r>
      <w:r w:rsidR="00592C48">
        <w:t xml:space="preserve">The </w:t>
      </w:r>
      <w:r w:rsidR="001E7EB3">
        <w:t xml:space="preserve">PABC will </w:t>
      </w:r>
      <w:r w:rsidR="00A636FC">
        <w:t xml:space="preserve">continue to </w:t>
      </w:r>
      <w:r w:rsidR="001E7EB3">
        <w:t xml:space="preserve">observe changes in parking utilization </w:t>
      </w:r>
      <w:r w:rsidR="00A636FC">
        <w:t xml:space="preserve">during </w:t>
      </w:r>
      <w:r w:rsidR="001E7EB3">
        <w:t>future data collection</w:t>
      </w:r>
      <w:r w:rsidR="00A636FC">
        <w:t xml:space="preserve"> rounds</w:t>
      </w:r>
      <w:r w:rsidR="001E7EB3">
        <w:t xml:space="preserve">. </w:t>
      </w:r>
    </w:p>
    <w:p w14:paraId="215D4D32" w14:textId="59B18269" w:rsidR="009D4B8A" w:rsidRDefault="009D4B8A" w:rsidP="001E5EB1">
      <w:pPr>
        <w:ind w:left="180"/>
      </w:pPr>
      <w:r>
        <w:t xml:space="preserve">This study collected parking data on some of the adjacent Residential Permit Parking (RPP) regulated streets in </w:t>
      </w:r>
      <w:r w:rsidR="009577E5">
        <w:t>Mt. Vernon</w:t>
      </w:r>
      <w:r>
        <w:t xml:space="preserve"> as a point of reference and is not meant to be an RPP study. It will provide a baseline to understand potential changes to demand that might occur when demand-based meter pricing rates are adjusted each round. </w:t>
      </w:r>
    </w:p>
    <w:p w14:paraId="74D71B49" w14:textId="09E4D17C" w:rsidR="00802592" w:rsidRDefault="00802592" w:rsidP="002A350F">
      <w:pPr>
        <w:ind w:left="180"/>
      </w:pPr>
    </w:p>
    <w:p w14:paraId="02E825E3" w14:textId="319B7357" w:rsidR="002A5D27" w:rsidRPr="0001053A" w:rsidRDefault="002A5D27" w:rsidP="00AB6366">
      <w:pPr>
        <w:ind w:left="180"/>
        <w:rPr>
          <w:b/>
          <w:bCs/>
          <w:sz w:val="24"/>
          <w:szCs w:val="24"/>
          <w:u w:val="single"/>
        </w:rPr>
      </w:pPr>
      <w:r w:rsidRPr="0001053A">
        <w:rPr>
          <w:b/>
          <w:bCs/>
          <w:sz w:val="24"/>
          <w:szCs w:val="24"/>
          <w:u w:val="single"/>
        </w:rPr>
        <w:t>Study Findings</w:t>
      </w:r>
    </w:p>
    <w:p w14:paraId="1E8A2BD2" w14:textId="37E5B7D0" w:rsidR="002A5D27" w:rsidRDefault="00CA247A">
      <w:pPr>
        <w:ind w:left="180"/>
      </w:pPr>
      <w:r w:rsidRPr="00E56A1F">
        <w:t>For the second round, t</w:t>
      </w:r>
      <w:r w:rsidR="00A11245" w:rsidRPr="00E56A1F">
        <w:t xml:space="preserve">he analysis indicates that during </w:t>
      </w:r>
      <w:r w:rsidR="00C66C85">
        <w:t>all days and times</w:t>
      </w:r>
      <w:r w:rsidR="00A11245" w:rsidRPr="00E56A1F">
        <w:t xml:space="preserve">, </w:t>
      </w:r>
      <w:r w:rsidR="00357BB1" w:rsidRPr="00E56A1F">
        <w:t xml:space="preserve">an average of </w:t>
      </w:r>
      <w:r w:rsidR="00E56A1F" w:rsidRPr="00E56A1F">
        <w:rPr>
          <w:b/>
          <w:bCs/>
          <w:i/>
          <w:iCs/>
        </w:rPr>
        <w:t>2</w:t>
      </w:r>
      <w:r w:rsidR="00C66C85">
        <w:rPr>
          <w:b/>
          <w:bCs/>
          <w:i/>
          <w:iCs/>
        </w:rPr>
        <w:t>3</w:t>
      </w:r>
      <w:r w:rsidR="00357BB1" w:rsidRPr="00E56A1F">
        <w:rPr>
          <w:b/>
          <w:bCs/>
          <w:i/>
          <w:iCs/>
        </w:rPr>
        <w:t>%</w:t>
      </w:r>
      <w:r w:rsidR="00357BB1" w:rsidRPr="00E56A1F">
        <w:t xml:space="preserve"> of</w:t>
      </w:r>
      <w:r w:rsidR="00A11245" w:rsidRPr="00E56A1F">
        <w:t xml:space="preserve"> </w:t>
      </w:r>
      <w:proofErr w:type="spellStart"/>
      <w:r w:rsidR="00A11245" w:rsidRPr="00E56A1F">
        <w:t>blockfaces</w:t>
      </w:r>
      <w:proofErr w:type="spellEnd"/>
      <w:r w:rsidR="00A11245" w:rsidRPr="00E56A1F">
        <w:t xml:space="preserve"> in </w:t>
      </w:r>
      <w:r w:rsidR="00C66C85">
        <w:t>Mt. Vernon</w:t>
      </w:r>
      <w:r w:rsidR="00A11245" w:rsidRPr="00E56A1F">
        <w:t xml:space="preserve"> are over</w:t>
      </w:r>
      <w:r w:rsidR="00B2429F" w:rsidRPr="00E56A1F">
        <w:t>-</w:t>
      </w:r>
      <w:r w:rsidR="00A11245" w:rsidRPr="00E56A1F">
        <w:t>parked</w:t>
      </w:r>
      <w:r w:rsidR="00357BB1" w:rsidRPr="00E56A1F">
        <w:t xml:space="preserve"> (with fewer than one free space available)</w:t>
      </w:r>
      <w:r w:rsidR="005D7C9C" w:rsidRPr="00E56A1F">
        <w:t xml:space="preserve">, while </w:t>
      </w:r>
      <w:r w:rsidR="00C66C85">
        <w:rPr>
          <w:b/>
          <w:bCs/>
          <w:i/>
          <w:iCs/>
        </w:rPr>
        <w:t>42</w:t>
      </w:r>
      <w:r w:rsidR="00357BB1" w:rsidRPr="00E56A1F">
        <w:rPr>
          <w:b/>
          <w:bCs/>
          <w:i/>
          <w:iCs/>
        </w:rPr>
        <w:t>%</w:t>
      </w:r>
      <w:r w:rsidR="005D7C9C" w:rsidRPr="00E56A1F">
        <w:t xml:space="preserve"> are under</w:t>
      </w:r>
      <w:r w:rsidR="00B2429F" w:rsidRPr="00E56A1F">
        <w:t>-</w:t>
      </w:r>
      <w:r w:rsidR="005D7C9C" w:rsidRPr="00E56A1F">
        <w:t>parked</w:t>
      </w:r>
      <w:r w:rsidR="00357BB1" w:rsidRPr="00E56A1F">
        <w:t xml:space="preserve"> (with more than two spaces available</w:t>
      </w:r>
      <w:r w:rsidR="00357BB1" w:rsidRPr="00F52A90">
        <w:t>)</w:t>
      </w:r>
      <w:r w:rsidR="005D7C9C" w:rsidRPr="00F52A90">
        <w:t xml:space="preserve">. </w:t>
      </w:r>
      <w:r w:rsidR="0074037A">
        <w:t xml:space="preserve">Compared to the first round, the number of </w:t>
      </w:r>
      <w:proofErr w:type="spellStart"/>
      <w:r w:rsidR="0074037A">
        <w:t>blockfaces</w:t>
      </w:r>
      <w:proofErr w:type="spellEnd"/>
      <w:r w:rsidR="0074037A">
        <w:t xml:space="preserve"> that will maintain </w:t>
      </w:r>
      <w:r w:rsidR="00A647D6">
        <w:t xml:space="preserve">at their current rate </w:t>
      </w:r>
      <w:r w:rsidR="0074037A">
        <w:t>nearly tripled</w:t>
      </w:r>
      <w:r w:rsidR="00A647D6">
        <w:t>.</w:t>
      </w:r>
      <w:r w:rsidR="0074037A">
        <w:t xml:space="preserve"> </w:t>
      </w:r>
    </w:p>
    <w:p w14:paraId="2FDE0FAE" w14:textId="77777777" w:rsidR="0066110A" w:rsidRDefault="0066110A" w:rsidP="00464AA8">
      <w:pPr>
        <w:ind w:left="180"/>
        <w:rPr>
          <w:b/>
          <w:i/>
          <w:iCs/>
        </w:rPr>
      </w:pPr>
    </w:p>
    <w:p w14:paraId="72725692" w14:textId="5EC483F7" w:rsidR="0066110A" w:rsidRDefault="006A016C" w:rsidP="00464AA8">
      <w:pPr>
        <w:ind w:left="180"/>
        <w:rPr>
          <w:b/>
          <w:i/>
          <w:iCs/>
        </w:rPr>
      </w:pPr>
      <w:r>
        <w:rPr>
          <w:b/>
          <w:i/>
          <w:iCs/>
          <w:noProof/>
        </w:rPr>
        <w:lastRenderedPageBreak/>
        <w:drawing>
          <wp:inline distT="0" distB="0" distL="0" distR="0" wp14:anchorId="53DA86A8" wp14:editId="3407898D">
            <wp:extent cx="6395085" cy="3596640"/>
            <wp:effectExtent l="0" t="0" r="571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95085" cy="3596640"/>
                    </a:xfrm>
                    <a:prstGeom prst="rect">
                      <a:avLst/>
                    </a:prstGeom>
                    <a:noFill/>
                  </pic:spPr>
                </pic:pic>
              </a:graphicData>
            </a:graphic>
          </wp:inline>
        </w:drawing>
      </w:r>
    </w:p>
    <w:p w14:paraId="5C7068D2" w14:textId="77777777" w:rsidR="003F1538" w:rsidRDefault="003F1538" w:rsidP="00464AA8">
      <w:pPr>
        <w:ind w:left="180"/>
        <w:rPr>
          <w:b/>
          <w:i/>
          <w:iCs/>
        </w:rPr>
      </w:pPr>
    </w:p>
    <w:p w14:paraId="39B02FFF" w14:textId="2D5585B0" w:rsidR="00AA278E" w:rsidRPr="002A350F" w:rsidRDefault="002A5D27" w:rsidP="002A350F">
      <w:pPr>
        <w:ind w:left="180"/>
        <w:rPr>
          <w:b/>
          <w:bCs/>
          <w:sz w:val="24"/>
          <w:szCs w:val="24"/>
          <w:u w:val="single"/>
        </w:rPr>
      </w:pPr>
      <w:r w:rsidRPr="000F2FBF">
        <w:rPr>
          <w:b/>
          <w:bCs/>
          <w:sz w:val="24"/>
          <w:szCs w:val="24"/>
          <w:u w:val="single"/>
        </w:rPr>
        <w:t>Recommendations</w:t>
      </w:r>
    </w:p>
    <w:p w14:paraId="45A4F2E2" w14:textId="60657197" w:rsidR="008467CB" w:rsidRDefault="008467CB" w:rsidP="00B02B4B">
      <w:pPr>
        <w:ind w:left="180"/>
        <w:rPr>
          <w:b/>
          <w:i/>
          <w:iCs/>
        </w:rPr>
      </w:pPr>
    </w:p>
    <w:p w14:paraId="346338D3" w14:textId="640695F3" w:rsidR="00983B46" w:rsidRPr="00B02B4B" w:rsidRDefault="006A1C6A" w:rsidP="00B02B4B">
      <w:pPr>
        <w:ind w:left="180"/>
        <w:rPr>
          <w:b/>
          <w:i/>
          <w:iCs/>
        </w:rPr>
      </w:pPr>
      <w:r w:rsidRPr="00C21C8D">
        <w:rPr>
          <w:b/>
          <w:i/>
          <w:iCs/>
        </w:rPr>
        <w:t xml:space="preserve">New Meter Rates </w:t>
      </w:r>
    </w:p>
    <w:p w14:paraId="523B6DF0" w14:textId="103FF78F" w:rsidR="0001053A" w:rsidRDefault="005849A7" w:rsidP="00373E10">
      <w:pPr>
        <w:spacing w:after="0"/>
        <w:ind w:left="180"/>
      </w:pPr>
      <w:r>
        <w:t xml:space="preserve">The first recommendation of the study is to implement new meter rates based on the data collected and analyzed. </w:t>
      </w:r>
      <w:r w:rsidR="006A1C6A" w:rsidRPr="00BB2E91">
        <w:t xml:space="preserve">Of the </w:t>
      </w:r>
      <w:r w:rsidR="00B37D1C">
        <w:rPr>
          <w:b/>
          <w:bCs/>
          <w:i/>
          <w:iCs/>
        </w:rPr>
        <w:t>112</w:t>
      </w:r>
      <w:r w:rsidR="006A1C6A" w:rsidRPr="00BB2E91">
        <w:t xml:space="preserve"> </w:t>
      </w:r>
      <w:proofErr w:type="spellStart"/>
      <w:r w:rsidR="006A1C6A" w:rsidRPr="00BB2E91">
        <w:t>blockfaces</w:t>
      </w:r>
      <w:proofErr w:type="spellEnd"/>
      <w:r w:rsidR="006A1C6A" w:rsidRPr="00BB2E91">
        <w:t xml:space="preserve"> studied with meters, </w:t>
      </w:r>
      <w:r w:rsidR="00B37D1C">
        <w:rPr>
          <w:b/>
          <w:bCs/>
          <w:i/>
          <w:iCs/>
        </w:rPr>
        <w:t>26</w:t>
      </w:r>
      <w:r w:rsidR="006A1C6A" w:rsidRPr="00BB2E91">
        <w:t xml:space="preserve"> </w:t>
      </w:r>
      <w:proofErr w:type="spellStart"/>
      <w:r w:rsidR="006A1C6A" w:rsidRPr="00BB2E91">
        <w:t>blockfaces</w:t>
      </w:r>
      <w:proofErr w:type="spellEnd"/>
      <w:r w:rsidR="006A1C6A" w:rsidRPr="00BB2E91">
        <w:t xml:space="preserve"> (</w:t>
      </w:r>
      <w:r w:rsidR="00B37D1C">
        <w:rPr>
          <w:b/>
          <w:bCs/>
          <w:i/>
          <w:iCs/>
        </w:rPr>
        <w:t>23</w:t>
      </w:r>
      <w:r w:rsidR="006A1C6A" w:rsidRPr="00BB2E91">
        <w:rPr>
          <w:b/>
          <w:bCs/>
          <w:i/>
          <w:iCs/>
        </w:rPr>
        <w:t>%</w:t>
      </w:r>
      <w:r w:rsidR="006A1C6A" w:rsidRPr="00BB2E91">
        <w:t xml:space="preserve">) rates will increase by </w:t>
      </w:r>
      <w:r w:rsidR="006A1C6A" w:rsidRPr="00BB2E91">
        <w:rPr>
          <w:b/>
          <w:bCs/>
          <w:i/>
          <w:iCs/>
        </w:rPr>
        <w:t>$0.25</w:t>
      </w:r>
      <w:r w:rsidR="006A1C6A" w:rsidRPr="00BB2E91">
        <w:t xml:space="preserve">, </w:t>
      </w:r>
      <w:r w:rsidR="00B37D1C">
        <w:rPr>
          <w:b/>
          <w:bCs/>
          <w:i/>
          <w:iCs/>
        </w:rPr>
        <w:t>3</w:t>
      </w:r>
      <w:r w:rsidR="006F7AD0" w:rsidRPr="00BB2E91">
        <w:rPr>
          <w:b/>
          <w:bCs/>
          <w:i/>
          <w:iCs/>
        </w:rPr>
        <w:t>9</w:t>
      </w:r>
      <w:r w:rsidR="006A1C6A" w:rsidRPr="00BB2E91">
        <w:t xml:space="preserve"> </w:t>
      </w:r>
      <w:proofErr w:type="spellStart"/>
      <w:r w:rsidR="006A1C6A" w:rsidRPr="00BB2E91">
        <w:t>blockfaces</w:t>
      </w:r>
      <w:proofErr w:type="spellEnd"/>
      <w:r w:rsidR="006A1C6A" w:rsidRPr="00BB2E91">
        <w:t xml:space="preserve"> (</w:t>
      </w:r>
      <w:r w:rsidR="00B37D1C">
        <w:rPr>
          <w:b/>
          <w:bCs/>
          <w:i/>
          <w:iCs/>
        </w:rPr>
        <w:t>35</w:t>
      </w:r>
      <w:r w:rsidR="006A1C6A" w:rsidRPr="00BB2E91">
        <w:rPr>
          <w:b/>
          <w:bCs/>
          <w:i/>
          <w:iCs/>
        </w:rPr>
        <w:t>%</w:t>
      </w:r>
      <w:r w:rsidR="006A1C6A" w:rsidRPr="00BB2E91">
        <w:t>) rates will maintain</w:t>
      </w:r>
      <w:r w:rsidR="009E1531">
        <w:t xml:space="preserve"> their current price</w:t>
      </w:r>
      <w:r w:rsidR="006A1C6A" w:rsidRPr="00BB2E91">
        <w:t xml:space="preserve">, and </w:t>
      </w:r>
      <w:r w:rsidR="00B37D1C">
        <w:rPr>
          <w:b/>
          <w:bCs/>
          <w:i/>
          <w:iCs/>
        </w:rPr>
        <w:t>47</w:t>
      </w:r>
      <w:r w:rsidR="006F7AD0" w:rsidRPr="00BB2E91">
        <w:rPr>
          <w:b/>
          <w:bCs/>
          <w:i/>
          <w:iCs/>
        </w:rPr>
        <w:t xml:space="preserve"> </w:t>
      </w:r>
      <w:proofErr w:type="spellStart"/>
      <w:r w:rsidR="006A1C6A" w:rsidRPr="00BB2E91">
        <w:t>blockfaces</w:t>
      </w:r>
      <w:proofErr w:type="spellEnd"/>
      <w:r w:rsidR="006A1C6A" w:rsidRPr="00BB2E91">
        <w:t xml:space="preserve"> (</w:t>
      </w:r>
      <w:r w:rsidR="00B37D1C">
        <w:rPr>
          <w:b/>
          <w:bCs/>
          <w:i/>
          <w:iCs/>
        </w:rPr>
        <w:t>42</w:t>
      </w:r>
      <w:r w:rsidR="006A1C6A" w:rsidRPr="00BB2E91">
        <w:rPr>
          <w:b/>
          <w:bCs/>
          <w:i/>
          <w:iCs/>
        </w:rPr>
        <w:t>%</w:t>
      </w:r>
      <w:r w:rsidR="006A1C6A" w:rsidRPr="00BB2E91">
        <w:t xml:space="preserve">) rates will decrease by </w:t>
      </w:r>
      <w:r w:rsidR="006A1C6A" w:rsidRPr="00BB2E91">
        <w:rPr>
          <w:b/>
          <w:bCs/>
          <w:i/>
          <w:iCs/>
        </w:rPr>
        <w:t>$0.25</w:t>
      </w:r>
      <w:r w:rsidR="006A1C6A" w:rsidRPr="00BB2E91">
        <w:t xml:space="preserve">. </w:t>
      </w:r>
      <w:r w:rsidR="006A1C6A" w:rsidRPr="00F52A90">
        <w:t xml:space="preserve">There are </w:t>
      </w:r>
      <w:r w:rsidR="00B37D1C">
        <w:rPr>
          <w:b/>
          <w:bCs/>
          <w:i/>
          <w:iCs/>
        </w:rPr>
        <w:t>86</w:t>
      </w:r>
      <w:r w:rsidR="006A1C6A" w:rsidRPr="00F52A90">
        <w:t xml:space="preserve"> </w:t>
      </w:r>
      <w:proofErr w:type="spellStart"/>
      <w:r w:rsidR="006A1C6A" w:rsidRPr="00F52A90">
        <w:t>blockfaces</w:t>
      </w:r>
      <w:proofErr w:type="spellEnd"/>
      <w:r w:rsidR="006A1C6A" w:rsidRPr="00F52A90">
        <w:t xml:space="preserve"> (</w:t>
      </w:r>
      <w:r w:rsidR="00F52A90" w:rsidRPr="00F52A90">
        <w:rPr>
          <w:b/>
          <w:bCs/>
          <w:i/>
          <w:iCs/>
        </w:rPr>
        <w:t>7</w:t>
      </w:r>
      <w:r w:rsidR="00B37D1C">
        <w:rPr>
          <w:b/>
          <w:bCs/>
          <w:i/>
          <w:iCs/>
        </w:rPr>
        <w:t>7</w:t>
      </w:r>
      <w:r w:rsidR="006A1C6A" w:rsidRPr="00F52A90">
        <w:rPr>
          <w:b/>
          <w:bCs/>
          <w:i/>
          <w:iCs/>
        </w:rPr>
        <w:t>%</w:t>
      </w:r>
      <w:r w:rsidR="006A1C6A" w:rsidRPr="00F52A90">
        <w:t>) overall that will either maintain or decrease their current rates.</w:t>
      </w:r>
    </w:p>
    <w:tbl>
      <w:tblPr>
        <w:tblpPr w:leftFromText="187" w:rightFromText="187" w:bottomFromText="158" w:vertAnchor="text" w:horzAnchor="page" w:tblpX="6362" w:tblpY="334"/>
        <w:tblW w:w="3769" w:type="dxa"/>
        <w:tblLook w:val="04A0" w:firstRow="1" w:lastRow="0" w:firstColumn="1" w:lastColumn="0" w:noHBand="0" w:noVBand="1"/>
      </w:tblPr>
      <w:tblGrid>
        <w:gridCol w:w="1430"/>
        <w:gridCol w:w="1260"/>
        <w:gridCol w:w="1079"/>
      </w:tblGrid>
      <w:tr w:rsidR="001E2E67" w:rsidRPr="001E2E67" w14:paraId="3EA94D79" w14:textId="77777777" w:rsidTr="001E2E67">
        <w:trPr>
          <w:trHeight w:val="258"/>
        </w:trPr>
        <w:tc>
          <w:tcPr>
            <w:tcW w:w="3769" w:type="dxa"/>
            <w:gridSpan w:val="3"/>
            <w:tcBorders>
              <w:top w:val="single" w:sz="8" w:space="0" w:color="auto"/>
              <w:left w:val="single" w:sz="8" w:space="0" w:color="auto"/>
              <w:bottom w:val="single" w:sz="8" w:space="0" w:color="auto"/>
              <w:right w:val="single" w:sz="8" w:space="0" w:color="auto"/>
            </w:tcBorders>
            <w:shd w:val="clear" w:color="auto" w:fill="FFE599" w:themeFill="accent4" w:themeFillTint="66"/>
            <w:noWrap/>
            <w:vAlign w:val="bottom"/>
            <w:hideMark/>
          </w:tcPr>
          <w:p w14:paraId="773B72A0" w14:textId="77777777" w:rsidR="001E2E67" w:rsidRPr="001E2E67" w:rsidRDefault="001E2E67" w:rsidP="001E2E67">
            <w:pPr>
              <w:spacing w:after="0" w:line="240" w:lineRule="auto"/>
              <w:jc w:val="center"/>
              <w:rPr>
                <w:rFonts w:ascii="Calibri" w:eastAsia="Times New Roman" w:hAnsi="Calibri" w:cs="Calibri"/>
                <w:b/>
                <w:color w:val="000000"/>
              </w:rPr>
            </w:pPr>
            <w:r w:rsidRPr="001E2E67">
              <w:rPr>
                <w:rFonts w:ascii="Calibri" w:eastAsia="Times New Roman" w:hAnsi="Calibri" w:cs="Calibri"/>
                <w:b/>
                <w:color w:val="000000"/>
              </w:rPr>
              <w:t>New Meter Rates</w:t>
            </w:r>
          </w:p>
        </w:tc>
      </w:tr>
      <w:tr w:rsidR="001E2E67" w:rsidRPr="001E2E67" w14:paraId="257519C7" w14:textId="77777777" w:rsidTr="001E2E67">
        <w:trPr>
          <w:cantSplit/>
          <w:trHeight w:val="258"/>
        </w:trPr>
        <w:tc>
          <w:tcPr>
            <w:tcW w:w="1430" w:type="dxa"/>
            <w:tcBorders>
              <w:top w:val="single" w:sz="8" w:space="0" w:color="auto"/>
              <w:left w:val="single" w:sz="8" w:space="0" w:color="auto"/>
              <w:bottom w:val="single" w:sz="8" w:space="0" w:color="auto"/>
              <w:right w:val="single" w:sz="8" w:space="0" w:color="auto"/>
            </w:tcBorders>
            <w:noWrap/>
            <w:vAlign w:val="bottom"/>
            <w:hideMark/>
          </w:tcPr>
          <w:p w14:paraId="000E03C9" w14:textId="77777777" w:rsidR="001E2E67" w:rsidRPr="001E2E67" w:rsidRDefault="001E2E67" w:rsidP="001E2E67">
            <w:pPr>
              <w:spacing w:after="0" w:line="240" w:lineRule="auto"/>
              <w:jc w:val="center"/>
              <w:rPr>
                <w:rFonts w:ascii="Calibri" w:eastAsia="Times New Roman" w:hAnsi="Calibri" w:cs="Calibri"/>
                <w:b/>
                <w:color w:val="000000"/>
              </w:rPr>
            </w:pPr>
            <w:r w:rsidRPr="001E2E67">
              <w:rPr>
                <w:rFonts w:ascii="Calibri" w:eastAsia="Times New Roman" w:hAnsi="Calibri" w:cs="Calibri"/>
                <w:b/>
                <w:color w:val="000000"/>
              </w:rPr>
              <w:t>Rate per Hour</w:t>
            </w:r>
          </w:p>
        </w:tc>
        <w:tc>
          <w:tcPr>
            <w:tcW w:w="1260" w:type="dxa"/>
            <w:tcBorders>
              <w:top w:val="single" w:sz="8" w:space="0" w:color="auto"/>
              <w:left w:val="single" w:sz="8" w:space="0" w:color="auto"/>
              <w:bottom w:val="single" w:sz="8" w:space="0" w:color="auto"/>
              <w:right w:val="single" w:sz="8" w:space="0" w:color="auto"/>
            </w:tcBorders>
            <w:noWrap/>
            <w:vAlign w:val="bottom"/>
            <w:hideMark/>
          </w:tcPr>
          <w:p w14:paraId="34B3EDEB" w14:textId="77777777" w:rsidR="001E2E67" w:rsidRPr="001E2E67" w:rsidRDefault="001E2E67" w:rsidP="001E2E67">
            <w:pPr>
              <w:spacing w:after="0" w:line="240" w:lineRule="auto"/>
              <w:jc w:val="center"/>
              <w:rPr>
                <w:rFonts w:ascii="Calibri" w:eastAsia="Times New Roman" w:hAnsi="Calibri" w:cs="Calibri"/>
                <w:b/>
                <w:color w:val="000000"/>
              </w:rPr>
            </w:pPr>
            <w:r w:rsidRPr="001E2E67">
              <w:rPr>
                <w:rFonts w:ascii="Calibri" w:eastAsia="Times New Roman" w:hAnsi="Calibri" w:cs="Calibri"/>
                <w:b/>
                <w:color w:val="000000"/>
              </w:rPr>
              <w:t xml:space="preserve"># </w:t>
            </w:r>
            <w:proofErr w:type="gramStart"/>
            <w:r w:rsidRPr="001E2E67">
              <w:rPr>
                <w:rFonts w:ascii="Calibri" w:eastAsia="Times New Roman" w:hAnsi="Calibri" w:cs="Calibri"/>
                <w:b/>
                <w:color w:val="000000"/>
              </w:rPr>
              <w:t>of</w:t>
            </w:r>
            <w:proofErr w:type="gramEnd"/>
            <w:r w:rsidRPr="001E2E67">
              <w:rPr>
                <w:rFonts w:ascii="Calibri" w:eastAsia="Times New Roman" w:hAnsi="Calibri" w:cs="Calibri"/>
                <w:b/>
                <w:color w:val="000000"/>
              </w:rPr>
              <w:t xml:space="preserve"> Block Faces</w:t>
            </w:r>
          </w:p>
        </w:tc>
        <w:tc>
          <w:tcPr>
            <w:tcW w:w="1079" w:type="dxa"/>
            <w:tcBorders>
              <w:top w:val="single" w:sz="8" w:space="0" w:color="auto"/>
              <w:left w:val="single" w:sz="8" w:space="0" w:color="auto"/>
              <w:bottom w:val="single" w:sz="8" w:space="0" w:color="auto"/>
              <w:right w:val="single" w:sz="8" w:space="0" w:color="auto"/>
            </w:tcBorders>
            <w:noWrap/>
            <w:vAlign w:val="bottom"/>
            <w:hideMark/>
          </w:tcPr>
          <w:p w14:paraId="75BB172D" w14:textId="77777777" w:rsidR="001E2E67" w:rsidRPr="001E2E67" w:rsidRDefault="001E2E67" w:rsidP="001E2E67">
            <w:pPr>
              <w:spacing w:after="0" w:line="240" w:lineRule="auto"/>
              <w:jc w:val="center"/>
              <w:rPr>
                <w:rFonts w:ascii="Calibri" w:eastAsia="Times New Roman" w:hAnsi="Calibri" w:cs="Calibri"/>
                <w:b/>
                <w:color w:val="000000"/>
              </w:rPr>
            </w:pPr>
            <w:r w:rsidRPr="001E2E67">
              <w:rPr>
                <w:rFonts w:ascii="Calibri" w:eastAsia="Times New Roman" w:hAnsi="Calibri" w:cs="Calibri"/>
                <w:b/>
                <w:color w:val="000000"/>
              </w:rPr>
              <w:t xml:space="preserve">% </w:t>
            </w:r>
            <w:proofErr w:type="gramStart"/>
            <w:r w:rsidRPr="001E2E67">
              <w:rPr>
                <w:rFonts w:ascii="Calibri" w:eastAsia="Times New Roman" w:hAnsi="Calibri" w:cs="Calibri"/>
                <w:b/>
                <w:color w:val="000000"/>
              </w:rPr>
              <w:t>of</w:t>
            </w:r>
            <w:proofErr w:type="gramEnd"/>
            <w:r w:rsidRPr="001E2E67">
              <w:rPr>
                <w:rFonts w:ascii="Calibri" w:eastAsia="Times New Roman" w:hAnsi="Calibri" w:cs="Calibri"/>
                <w:b/>
                <w:color w:val="000000"/>
              </w:rPr>
              <w:t xml:space="preserve"> Total</w:t>
            </w:r>
          </w:p>
        </w:tc>
      </w:tr>
      <w:tr w:rsidR="00957EA1" w:rsidRPr="001E2E67" w14:paraId="50CB097D" w14:textId="77777777" w:rsidTr="001E2E67">
        <w:trPr>
          <w:trHeight w:val="246"/>
        </w:trPr>
        <w:tc>
          <w:tcPr>
            <w:tcW w:w="1430" w:type="dxa"/>
            <w:tcBorders>
              <w:top w:val="single" w:sz="8" w:space="0" w:color="auto"/>
              <w:left w:val="single" w:sz="6" w:space="0" w:color="auto"/>
              <w:bottom w:val="single" w:sz="6" w:space="0" w:color="auto"/>
              <w:right w:val="single" w:sz="6" w:space="0" w:color="auto"/>
            </w:tcBorders>
            <w:noWrap/>
            <w:vAlign w:val="bottom"/>
          </w:tcPr>
          <w:p w14:paraId="3B4A57DD" w14:textId="08B8D042" w:rsidR="00957EA1" w:rsidRPr="001E2E67" w:rsidRDefault="00957EA1" w:rsidP="001E2E67">
            <w:pPr>
              <w:spacing w:after="0" w:line="240" w:lineRule="auto"/>
              <w:jc w:val="center"/>
              <w:rPr>
                <w:rFonts w:ascii="Calibri" w:eastAsia="Times New Roman" w:hAnsi="Calibri" w:cs="Calibri"/>
                <w:color w:val="000000"/>
              </w:rPr>
            </w:pPr>
            <w:r>
              <w:rPr>
                <w:rFonts w:ascii="Calibri" w:eastAsia="Times New Roman" w:hAnsi="Calibri" w:cs="Calibri"/>
                <w:color w:val="000000"/>
              </w:rPr>
              <w:t>$2.50</w:t>
            </w:r>
          </w:p>
        </w:tc>
        <w:tc>
          <w:tcPr>
            <w:tcW w:w="1260" w:type="dxa"/>
            <w:tcBorders>
              <w:top w:val="single" w:sz="8" w:space="0" w:color="auto"/>
              <w:left w:val="single" w:sz="6" w:space="0" w:color="auto"/>
              <w:bottom w:val="single" w:sz="6" w:space="0" w:color="auto"/>
              <w:right w:val="single" w:sz="6" w:space="0" w:color="auto"/>
            </w:tcBorders>
            <w:noWrap/>
            <w:vAlign w:val="bottom"/>
          </w:tcPr>
          <w:p w14:paraId="2E198257" w14:textId="351A38D6" w:rsidR="00957EA1" w:rsidRPr="001E2E67" w:rsidRDefault="00957EA1" w:rsidP="001E2E67">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1079" w:type="dxa"/>
            <w:tcBorders>
              <w:top w:val="single" w:sz="8" w:space="0" w:color="auto"/>
              <w:left w:val="single" w:sz="6" w:space="0" w:color="auto"/>
              <w:bottom w:val="single" w:sz="6" w:space="0" w:color="auto"/>
              <w:right w:val="single" w:sz="6" w:space="0" w:color="auto"/>
            </w:tcBorders>
            <w:noWrap/>
            <w:vAlign w:val="bottom"/>
          </w:tcPr>
          <w:p w14:paraId="23AA2145" w14:textId="79DA2195" w:rsidR="00957EA1" w:rsidRPr="001E2E67" w:rsidRDefault="00957EA1" w:rsidP="001E2E67">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r>
      <w:tr w:rsidR="001E2E67" w:rsidRPr="001E2E67" w14:paraId="1CD10C53" w14:textId="77777777" w:rsidTr="001E2E67">
        <w:trPr>
          <w:trHeight w:val="246"/>
        </w:trPr>
        <w:tc>
          <w:tcPr>
            <w:tcW w:w="1430" w:type="dxa"/>
            <w:tcBorders>
              <w:top w:val="single" w:sz="8" w:space="0" w:color="auto"/>
              <w:left w:val="single" w:sz="6" w:space="0" w:color="auto"/>
              <w:bottom w:val="single" w:sz="6" w:space="0" w:color="auto"/>
              <w:right w:val="single" w:sz="6" w:space="0" w:color="auto"/>
            </w:tcBorders>
            <w:noWrap/>
            <w:vAlign w:val="bottom"/>
            <w:hideMark/>
          </w:tcPr>
          <w:p w14:paraId="186AA7A9" w14:textId="7C817E21" w:rsidR="001E2E67" w:rsidRPr="001E2E67" w:rsidRDefault="001E2E67" w:rsidP="001E2E67">
            <w:pPr>
              <w:spacing w:after="0" w:line="240" w:lineRule="auto"/>
              <w:jc w:val="center"/>
              <w:rPr>
                <w:rFonts w:ascii="Calibri" w:eastAsia="Times New Roman" w:hAnsi="Calibri" w:cs="Calibri"/>
                <w:color w:val="000000"/>
              </w:rPr>
            </w:pPr>
            <w:r w:rsidRPr="001E2E67">
              <w:rPr>
                <w:rFonts w:ascii="Calibri" w:eastAsia="Times New Roman" w:hAnsi="Calibri" w:cs="Calibri"/>
                <w:color w:val="000000"/>
              </w:rPr>
              <w:t>$</w:t>
            </w:r>
            <w:r>
              <w:rPr>
                <w:rFonts w:ascii="Calibri" w:eastAsia="Times New Roman" w:hAnsi="Calibri" w:cs="Calibri"/>
                <w:color w:val="000000"/>
              </w:rPr>
              <w:t>2.25</w:t>
            </w:r>
          </w:p>
        </w:tc>
        <w:tc>
          <w:tcPr>
            <w:tcW w:w="1260" w:type="dxa"/>
            <w:tcBorders>
              <w:top w:val="single" w:sz="8" w:space="0" w:color="auto"/>
              <w:left w:val="single" w:sz="6" w:space="0" w:color="auto"/>
              <w:bottom w:val="single" w:sz="6" w:space="0" w:color="auto"/>
              <w:right w:val="single" w:sz="6" w:space="0" w:color="auto"/>
            </w:tcBorders>
            <w:noWrap/>
            <w:vAlign w:val="bottom"/>
            <w:hideMark/>
          </w:tcPr>
          <w:p w14:paraId="4EAEB2FE" w14:textId="0AD15E03" w:rsidR="001E2E67" w:rsidRPr="001E2E67" w:rsidRDefault="00957EA1" w:rsidP="001E2E67">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1079" w:type="dxa"/>
            <w:tcBorders>
              <w:top w:val="single" w:sz="8" w:space="0" w:color="auto"/>
              <w:left w:val="single" w:sz="6" w:space="0" w:color="auto"/>
              <w:bottom w:val="single" w:sz="6" w:space="0" w:color="auto"/>
              <w:right w:val="single" w:sz="6" w:space="0" w:color="auto"/>
            </w:tcBorders>
            <w:noWrap/>
            <w:vAlign w:val="bottom"/>
            <w:hideMark/>
          </w:tcPr>
          <w:p w14:paraId="1F15A7BF" w14:textId="15814669" w:rsidR="001E2E67" w:rsidRPr="001E2E67" w:rsidRDefault="00957EA1" w:rsidP="001E2E67">
            <w:pPr>
              <w:spacing w:after="0" w:line="240" w:lineRule="auto"/>
              <w:jc w:val="center"/>
              <w:rPr>
                <w:rFonts w:ascii="Calibri" w:eastAsia="Times New Roman" w:hAnsi="Calibri" w:cs="Calibri"/>
                <w:color w:val="000000"/>
              </w:rPr>
            </w:pPr>
            <w:r>
              <w:rPr>
                <w:rFonts w:ascii="Calibri" w:eastAsia="Times New Roman" w:hAnsi="Calibri" w:cs="Calibri"/>
                <w:color w:val="000000"/>
              </w:rPr>
              <w:t>1</w:t>
            </w:r>
            <w:r w:rsidR="001E2E67" w:rsidRPr="001E2E67">
              <w:rPr>
                <w:rFonts w:ascii="Calibri" w:eastAsia="Times New Roman" w:hAnsi="Calibri" w:cs="Calibri"/>
                <w:color w:val="000000"/>
              </w:rPr>
              <w:t>%</w:t>
            </w:r>
          </w:p>
        </w:tc>
      </w:tr>
      <w:tr w:rsidR="001E2E67" w:rsidRPr="001E2E67" w14:paraId="1E79D958" w14:textId="77777777" w:rsidTr="001E2E67">
        <w:trPr>
          <w:trHeight w:val="246"/>
        </w:trPr>
        <w:tc>
          <w:tcPr>
            <w:tcW w:w="1430" w:type="dxa"/>
            <w:tcBorders>
              <w:top w:val="single" w:sz="8" w:space="0" w:color="auto"/>
              <w:left w:val="single" w:sz="6" w:space="0" w:color="auto"/>
              <w:bottom w:val="single" w:sz="6" w:space="0" w:color="auto"/>
              <w:right w:val="single" w:sz="6" w:space="0" w:color="auto"/>
            </w:tcBorders>
            <w:noWrap/>
            <w:vAlign w:val="bottom"/>
            <w:hideMark/>
          </w:tcPr>
          <w:p w14:paraId="1AD2A000" w14:textId="62C53815" w:rsidR="001E2E67" w:rsidRPr="001E2E67" w:rsidRDefault="001E2E67" w:rsidP="001E2E67">
            <w:pPr>
              <w:spacing w:after="0" w:line="240" w:lineRule="auto"/>
              <w:jc w:val="center"/>
              <w:rPr>
                <w:rFonts w:ascii="Calibri" w:eastAsia="Times New Roman" w:hAnsi="Calibri" w:cs="Calibri"/>
                <w:color w:val="000000"/>
              </w:rPr>
            </w:pPr>
            <w:r w:rsidRPr="001E2E67">
              <w:rPr>
                <w:rFonts w:ascii="Calibri" w:eastAsia="Times New Roman" w:hAnsi="Calibri" w:cs="Calibri"/>
                <w:color w:val="000000"/>
              </w:rPr>
              <w:t>$</w:t>
            </w:r>
            <w:r>
              <w:rPr>
                <w:rFonts w:ascii="Calibri" w:eastAsia="Times New Roman" w:hAnsi="Calibri" w:cs="Calibri"/>
                <w:color w:val="000000"/>
              </w:rPr>
              <w:t>2.00</w:t>
            </w:r>
          </w:p>
        </w:tc>
        <w:tc>
          <w:tcPr>
            <w:tcW w:w="1260" w:type="dxa"/>
            <w:tcBorders>
              <w:top w:val="single" w:sz="8" w:space="0" w:color="auto"/>
              <w:left w:val="single" w:sz="6" w:space="0" w:color="auto"/>
              <w:bottom w:val="single" w:sz="6" w:space="0" w:color="auto"/>
              <w:right w:val="single" w:sz="6" w:space="0" w:color="auto"/>
            </w:tcBorders>
            <w:noWrap/>
            <w:vAlign w:val="bottom"/>
            <w:hideMark/>
          </w:tcPr>
          <w:p w14:paraId="1D50DD4B" w14:textId="3C4BB579" w:rsidR="001E2E67" w:rsidRPr="001E2E67" w:rsidRDefault="00957EA1" w:rsidP="001E2E67">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c>
          <w:tcPr>
            <w:tcW w:w="1079" w:type="dxa"/>
            <w:tcBorders>
              <w:top w:val="single" w:sz="8" w:space="0" w:color="auto"/>
              <w:left w:val="single" w:sz="6" w:space="0" w:color="auto"/>
              <w:bottom w:val="single" w:sz="6" w:space="0" w:color="auto"/>
              <w:right w:val="single" w:sz="6" w:space="0" w:color="auto"/>
            </w:tcBorders>
            <w:noWrap/>
            <w:vAlign w:val="bottom"/>
            <w:hideMark/>
          </w:tcPr>
          <w:p w14:paraId="4246500D" w14:textId="57393ED7" w:rsidR="001E2E67" w:rsidRPr="001E2E67" w:rsidRDefault="00957EA1" w:rsidP="001E2E67">
            <w:pPr>
              <w:spacing w:after="0" w:line="240" w:lineRule="auto"/>
              <w:jc w:val="center"/>
              <w:rPr>
                <w:rFonts w:ascii="Calibri" w:eastAsia="Times New Roman" w:hAnsi="Calibri" w:cs="Calibri"/>
                <w:color w:val="000000"/>
              </w:rPr>
            </w:pPr>
            <w:r>
              <w:rPr>
                <w:rFonts w:ascii="Calibri" w:eastAsia="Times New Roman" w:hAnsi="Calibri" w:cs="Calibri"/>
                <w:color w:val="000000"/>
              </w:rPr>
              <w:t>5</w:t>
            </w:r>
            <w:r w:rsidR="001E2E67" w:rsidRPr="001E2E67">
              <w:rPr>
                <w:rFonts w:ascii="Calibri" w:eastAsia="Times New Roman" w:hAnsi="Calibri" w:cs="Calibri"/>
                <w:color w:val="000000"/>
              </w:rPr>
              <w:t>%</w:t>
            </w:r>
          </w:p>
        </w:tc>
      </w:tr>
      <w:tr w:rsidR="001E2E67" w:rsidRPr="001E2E67" w14:paraId="468B2365" w14:textId="77777777" w:rsidTr="001E2E67">
        <w:trPr>
          <w:trHeight w:val="246"/>
        </w:trPr>
        <w:tc>
          <w:tcPr>
            <w:tcW w:w="1430" w:type="dxa"/>
            <w:tcBorders>
              <w:top w:val="single" w:sz="8" w:space="0" w:color="auto"/>
              <w:left w:val="single" w:sz="6" w:space="0" w:color="auto"/>
              <w:bottom w:val="single" w:sz="6" w:space="0" w:color="auto"/>
              <w:right w:val="single" w:sz="6" w:space="0" w:color="auto"/>
            </w:tcBorders>
            <w:noWrap/>
            <w:vAlign w:val="bottom"/>
            <w:hideMark/>
          </w:tcPr>
          <w:p w14:paraId="4393B78C" w14:textId="03D6288C" w:rsidR="001E2E67" w:rsidRPr="001E2E67" w:rsidRDefault="001E2E67" w:rsidP="001E2E67">
            <w:pPr>
              <w:spacing w:after="0" w:line="240" w:lineRule="auto"/>
              <w:jc w:val="center"/>
              <w:rPr>
                <w:rFonts w:ascii="Calibri" w:eastAsia="Times New Roman" w:hAnsi="Calibri" w:cs="Calibri"/>
                <w:color w:val="000000"/>
              </w:rPr>
            </w:pPr>
            <w:r w:rsidRPr="001E2E67">
              <w:rPr>
                <w:rFonts w:ascii="Calibri" w:eastAsia="Times New Roman" w:hAnsi="Calibri" w:cs="Calibri"/>
                <w:color w:val="000000"/>
              </w:rPr>
              <w:t>$</w:t>
            </w:r>
            <w:r>
              <w:rPr>
                <w:rFonts w:ascii="Calibri" w:eastAsia="Times New Roman" w:hAnsi="Calibri" w:cs="Calibri"/>
                <w:color w:val="000000"/>
              </w:rPr>
              <w:t>1.75</w:t>
            </w:r>
          </w:p>
        </w:tc>
        <w:tc>
          <w:tcPr>
            <w:tcW w:w="1260" w:type="dxa"/>
            <w:tcBorders>
              <w:top w:val="single" w:sz="8" w:space="0" w:color="auto"/>
              <w:left w:val="single" w:sz="6" w:space="0" w:color="auto"/>
              <w:bottom w:val="single" w:sz="6" w:space="0" w:color="auto"/>
              <w:right w:val="single" w:sz="6" w:space="0" w:color="auto"/>
            </w:tcBorders>
            <w:noWrap/>
            <w:vAlign w:val="bottom"/>
            <w:hideMark/>
          </w:tcPr>
          <w:p w14:paraId="14F540A4" w14:textId="2B525626" w:rsidR="001E2E67" w:rsidRPr="001E2E67" w:rsidRDefault="00957EA1" w:rsidP="001E2E67">
            <w:pPr>
              <w:spacing w:after="0" w:line="240" w:lineRule="auto"/>
              <w:jc w:val="center"/>
              <w:rPr>
                <w:rFonts w:ascii="Calibri" w:eastAsia="Times New Roman" w:hAnsi="Calibri" w:cs="Calibri"/>
                <w:color w:val="000000"/>
              </w:rPr>
            </w:pPr>
            <w:r>
              <w:rPr>
                <w:rFonts w:ascii="Calibri" w:eastAsia="Times New Roman" w:hAnsi="Calibri" w:cs="Calibri"/>
                <w:color w:val="000000"/>
              </w:rPr>
              <w:t>7</w:t>
            </w:r>
          </w:p>
        </w:tc>
        <w:tc>
          <w:tcPr>
            <w:tcW w:w="1079" w:type="dxa"/>
            <w:tcBorders>
              <w:top w:val="single" w:sz="8" w:space="0" w:color="auto"/>
              <w:left w:val="single" w:sz="6" w:space="0" w:color="auto"/>
              <w:bottom w:val="single" w:sz="6" w:space="0" w:color="auto"/>
              <w:right w:val="single" w:sz="6" w:space="0" w:color="auto"/>
            </w:tcBorders>
            <w:noWrap/>
            <w:vAlign w:val="bottom"/>
            <w:hideMark/>
          </w:tcPr>
          <w:p w14:paraId="1FBD91B2" w14:textId="2665CA9C" w:rsidR="001E2E67" w:rsidRPr="001E2E67" w:rsidRDefault="00957EA1" w:rsidP="001E2E67">
            <w:pPr>
              <w:spacing w:after="0" w:line="240" w:lineRule="auto"/>
              <w:jc w:val="center"/>
              <w:rPr>
                <w:rFonts w:ascii="Calibri" w:eastAsia="Times New Roman" w:hAnsi="Calibri" w:cs="Calibri"/>
                <w:color w:val="000000"/>
              </w:rPr>
            </w:pPr>
            <w:r>
              <w:rPr>
                <w:rFonts w:ascii="Calibri" w:eastAsia="Times New Roman" w:hAnsi="Calibri" w:cs="Calibri"/>
                <w:color w:val="000000"/>
              </w:rPr>
              <w:t>6</w:t>
            </w:r>
            <w:r w:rsidR="001E2E67" w:rsidRPr="001E2E67">
              <w:rPr>
                <w:rFonts w:ascii="Calibri" w:eastAsia="Times New Roman" w:hAnsi="Calibri" w:cs="Calibri"/>
                <w:color w:val="000000"/>
              </w:rPr>
              <w:t>%</w:t>
            </w:r>
          </w:p>
        </w:tc>
      </w:tr>
      <w:tr w:rsidR="001E2E67" w:rsidRPr="001E2E67" w14:paraId="713D61AD" w14:textId="77777777" w:rsidTr="001E2E67">
        <w:trPr>
          <w:trHeight w:val="246"/>
        </w:trPr>
        <w:tc>
          <w:tcPr>
            <w:tcW w:w="1430" w:type="dxa"/>
            <w:tcBorders>
              <w:top w:val="single" w:sz="8" w:space="0" w:color="auto"/>
              <w:left w:val="single" w:sz="6" w:space="0" w:color="auto"/>
              <w:bottom w:val="single" w:sz="6" w:space="0" w:color="auto"/>
              <w:right w:val="single" w:sz="6" w:space="0" w:color="auto"/>
            </w:tcBorders>
            <w:noWrap/>
            <w:vAlign w:val="bottom"/>
            <w:hideMark/>
          </w:tcPr>
          <w:p w14:paraId="62D9A957" w14:textId="57128F7C" w:rsidR="001E2E67" w:rsidRPr="001E2E67" w:rsidRDefault="001E2E67" w:rsidP="001E2E67">
            <w:pPr>
              <w:spacing w:after="0" w:line="240" w:lineRule="auto"/>
              <w:jc w:val="center"/>
              <w:rPr>
                <w:rFonts w:ascii="Calibri" w:eastAsia="Times New Roman" w:hAnsi="Calibri" w:cs="Calibri"/>
                <w:color w:val="000000"/>
              </w:rPr>
            </w:pPr>
            <w:r w:rsidRPr="001E2E67">
              <w:rPr>
                <w:rFonts w:ascii="Calibri" w:eastAsia="Times New Roman" w:hAnsi="Calibri" w:cs="Calibri"/>
                <w:color w:val="000000"/>
              </w:rPr>
              <w:t>$</w:t>
            </w:r>
            <w:r>
              <w:rPr>
                <w:rFonts w:ascii="Calibri" w:eastAsia="Times New Roman" w:hAnsi="Calibri" w:cs="Calibri"/>
                <w:color w:val="000000"/>
              </w:rPr>
              <w:t>1.50</w:t>
            </w:r>
          </w:p>
        </w:tc>
        <w:tc>
          <w:tcPr>
            <w:tcW w:w="1260" w:type="dxa"/>
            <w:tcBorders>
              <w:top w:val="single" w:sz="8" w:space="0" w:color="auto"/>
              <w:left w:val="single" w:sz="6" w:space="0" w:color="auto"/>
              <w:bottom w:val="single" w:sz="6" w:space="0" w:color="auto"/>
              <w:right w:val="single" w:sz="6" w:space="0" w:color="auto"/>
            </w:tcBorders>
            <w:noWrap/>
            <w:vAlign w:val="bottom"/>
            <w:hideMark/>
          </w:tcPr>
          <w:p w14:paraId="53424BAA" w14:textId="41E0383D" w:rsidR="001E2E67" w:rsidRPr="001E2E67" w:rsidRDefault="00957EA1" w:rsidP="001E2E67">
            <w:pPr>
              <w:spacing w:after="0" w:line="240" w:lineRule="auto"/>
              <w:jc w:val="center"/>
              <w:rPr>
                <w:rFonts w:ascii="Calibri" w:eastAsia="Times New Roman" w:hAnsi="Calibri" w:cs="Calibri"/>
                <w:color w:val="000000"/>
              </w:rPr>
            </w:pPr>
            <w:r>
              <w:rPr>
                <w:rFonts w:ascii="Calibri" w:eastAsia="Times New Roman" w:hAnsi="Calibri" w:cs="Calibri"/>
                <w:color w:val="000000"/>
              </w:rPr>
              <w:t>40</w:t>
            </w:r>
          </w:p>
        </w:tc>
        <w:tc>
          <w:tcPr>
            <w:tcW w:w="1079" w:type="dxa"/>
            <w:tcBorders>
              <w:top w:val="single" w:sz="8" w:space="0" w:color="auto"/>
              <w:left w:val="single" w:sz="6" w:space="0" w:color="auto"/>
              <w:bottom w:val="single" w:sz="6" w:space="0" w:color="auto"/>
              <w:right w:val="single" w:sz="6" w:space="0" w:color="auto"/>
            </w:tcBorders>
            <w:noWrap/>
            <w:vAlign w:val="bottom"/>
            <w:hideMark/>
          </w:tcPr>
          <w:p w14:paraId="315DA987" w14:textId="3916DD66" w:rsidR="001E2E67" w:rsidRPr="001E2E67" w:rsidRDefault="00957EA1" w:rsidP="001E2E67">
            <w:pPr>
              <w:spacing w:after="0" w:line="240" w:lineRule="auto"/>
              <w:jc w:val="center"/>
              <w:rPr>
                <w:rFonts w:ascii="Calibri" w:eastAsia="Times New Roman" w:hAnsi="Calibri" w:cs="Calibri"/>
                <w:color w:val="000000"/>
              </w:rPr>
            </w:pPr>
            <w:r>
              <w:rPr>
                <w:rFonts w:ascii="Calibri" w:eastAsia="Times New Roman" w:hAnsi="Calibri" w:cs="Calibri"/>
                <w:color w:val="000000"/>
              </w:rPr>
              <w:t>38</w:t>
            </w:r>
            <w:r w:rsidR="001E2E67" w:rsidRPr="001E2E67">
              <w:rPr>
                <w:rFonts w:ascii="Calibri" w:eastAsia="Times New Roman" w:hAnsi="Calibri" w:cs="Calibri"/>
                <w:color w:val="000000"/>
              </w:rPr>
              <w:t>%</w:t>
            </w:r>
          </w:p>
        </w:tc>
      </w:tr>
      <w:tr w:rsidR="001E2E67" w:rsidRPr="001E2E67" w14:paraId="5C819526" w14:textId="77777777" w:rsidTr="001E2E67">
        <w:trPr>
          <w:trHeight w:val="246"/>
        </w:trPr>
        <w:tc>
          <w:tcPr>
            <w:tcW w:w="1430" w:type="dxa"/>
            <w:tcBorders>
              <w:top w:val="single" w:sz="6" w:space="0" w:color="auto"/>
              <w:left w:val="single" w:sz="6" w:space="0" w:color="auto"/>
              <w:bottom w:val="single" w:sz="6" w:space="0" w:color="auto"/>
              <w:right w:val="single" w:sz="6" w:space="0" w:color="auto"/>
            </w:tcBorders>
            <w:noWrap/>
            <w:vAlign w:val="bottom"/>
            <w:hideMark/>
          </w:tcPr>
          <w:p w14:paraId="58AA4FA1" w14:textId="77777777" w:rsidR="001E2E67" w:rsidRPr="001E2E67" w:rsidRDefault="001E2E67" w:rsidP="001E2E67">
            <w:pPr>
              <w:spacing w:after="0" w:line="240" w:lineRule="auto"/>
              <w:jc w:val="center"/>
              <w:rPr>
                <w:rFonts w:ascii="Calibri" w:eastAsia="Times New Roman" w:hAnsi="Calibri" w:cs="Calibri"/>
                <w:color w:val="000000"/>
              </w:rPr>
            </w:pPr>
            <w:r w:rsidRPr="001E2E67">
              <w:rPr>
                <w:rFonts w:ascii="Calibri" w:eastAsia="Times New Roman" w:hAnsi="Calibri" w:cs="Calibri"/>
                <w:color w:val="000000"/>
              </w:rPr>
              <w:t>$1.25</w:t>
            </w:r>
          </w:p>
        </w:tc>
        <w:tc>
          <w:tcPr>
            <w:tcW w:w="1260" w:type="dxa"/>
            <w:tcBorders>
              <w:top w:val="single" w:sz="6" w:space="0" w:color="auto"/>
              <w:left w:val="single" w:sz="6" w:space="0" w:color="auto"/>
              <w:bottom w:val="single" w:sz="6" w:space="0" w:color="auto"/>
              <w:right w:val="single" w:sz="6" w:space="0" w:color="auto"/>
            </w:tcBorders>
            <w:noWrap/>
            <w:vAlign w:val="bottom"/>
            <w:hideMark/>
          </w:tcPr>
          <w:p w14:paraId="18BDBF9D" w14:textId="36C136B0" w:rsidR="001E2E67" w:rsidRPr="001E2E67" w:rsidRDefault="00957EA1" w:rsidP="001E2E67">
            <w:pPr>
              <w:spacing w:after="0" w:line="240" w:lineRule="auto"/>
              <w:jc w:val="center"/>
              <w:rPr>
                <w:rFonts w:ascii="Calibri" w:eastAsia="Times New Roman" w:hAnsi="Calibri" w:cs="Calibri"/>
                <w:color w:val="000000"/>
              </w:rPr>
            </w:pPr>
            <w:r>
              <w:rPr>
                <w:rFonts w:ascii="Calibri" w:eastAsia="Times New Roman" w:hAnsi="Calibri" w:cs="Calibri"/>
                <w:color w:val="000000"/>
              </w:rPr>
              <w:t>7</w:t>
            </w:r>
          </w:p>
        </w:tc>
        <w:tc>
          <w:tcPr>
            <w:tcW w:w="1079" w:type="dxa"/>
            <w:tcBorders>
              <w:top w:val="single" w:sz="6" w:space="0" w:color="auto"/>
              <w:left w:val="single" w:sz="6" w:space="0" w:color="auto"/>
              <w:bottom w:val="single" w:sz="6" w:space="0" w:color="auto"/>
              <w:right w:val="single" w:sz="6" w:space="0" w:color="auto"/>
            </w:tcBorders>
            <w:noWrap/>
            <w:vAlign w:val="bottom"/>
            <w:hideMark/>
          </w:tcPr>
          <w:p w14:paraId="426CA1A2" w14:textId="3352CE6E" w:rsidR="001E2E67" w:rsidRPr="001E2E67" w:rsidRDefault="00957EA1" w:rsidP="001E2E67">
            <w:pPr>
              <w:spacing w:after="0" w:line="240" w:lineRule="auto"/>
              <w:jc w:val="center"/>
              <w:rPr>
                <w:rFonts w:ascii="Calibri" w:eastAsia="Times New Roman" w:hAnsi="Calibri" w:cs="Calibri"/>
                <w:color w:val="000000"/>
              </w:rPr>
            </w:pPr>
            <w:r>
              <w:rPr>
                <w:rFonts w:ascii="Calibri" w:eastAsia="Times New Roman" w:hAnsi="Calibri" w:cs="Calibri"/>
                <w:color w:val="000000"/>
              </w:rPr>
              <w:t>6</w:t>
            </w:r>
            <w:r w:rsidR="001E2E67" w:rsidRPr="001E2E67">
              <w:rPr>
                <w:rFonts w:ascii="Calibri" w:eastAsia="Times New Roman" w:hAnsi="Calibri" w:cs="Calibri"/>
                <w:color w:val="000000"/>
              </w:rPr>
              <w:t>%</w:t>
            </w:r>
          </w:p>
        </w:tc>
      </w:tr>
      <w:tr w:rsidR="001E2E67" w:rsidRPr="001E2E67" w14:paraId="7F9B3B01" w14:textId="77777777" w:rsidTr="001E2E67">
        <w:trPr>
          <w:trHeight w:val="246"/>
        </w:trPr>
        <w:tc>
          <w:tcPr>
            <w:tcW w:w="1430" w:type="dxa"/>
            <w:tcBorders>
              <w:top w:val="single" w:sz="6" w:space="0" w:color="auto"/>
              <w:left w:val="single" w:sz="6" w:space="0" w:color="auto"/>
              <w:bottom w:val="single" w:sz="6" w:space="0" w:color="auto"/>
              <w:right w:val="single" w:sz="6" w:space="0" w:color="auto"/>
            </w:tcBorders>
            <w:noWrap/>
            <w:vAlign w:val="bottom"/>
            <w:hideMark/>
          </w:tcPr>
          <w:p w14:paraId="7243AFB7" w14:textId="77777777" w:rsidR="001E2E67" w:rsidRPr="001E2E67" w:rsidRDefault="001E2E67" w:rsidP="001E2E67">
            <w:pPr>
              <w:spacing w:after="0" w:line="240" w:lineRule="auto"/>
              <w:jc w:val="center"/>
              <w:rPr>
                <w:rFonts w:ascii="Calibri" w:eastAsia="Times New Roman" w:hAnsi="Calibri" w:cs="Calibri"/>
                <w:color w:val="000000"/>
              </w:rPr>
            </w:pPr>
            <w:r w:rsidRPr="001E2E67">
              <w:rPr>
                <w:rFonts w:ascii="Calibri" w:eastAsia="Times New Roman" w:hAnsi="Calibri" w:cs="Calibri"/>
                <w:color w:val="000000"/>
              </w:rPr>
              <w:t>$1.00</w:t>
            </w:r>
          </w:p>
        </w:tc>
        <w:tc>
          <w:tcPr>
            <w:tcW w:w="1260" w:type="dxa"/>
            <w:tcBorders>
              <w:top w:val="single" w:sz="6" w:space="0" w:color="auto"/>
              <w:left w:val="single" w:sz="6" w:space="0" w:color="auto"/>
              <w:bottom w:val="single" w:sz="6" w:space="0" w:color="auto"/>
              <w:right w:val="single" w:sz="6" w:space="0" w:color="auto"/>
            </w:tcBorders>
            <w:noWrap/>
            <w:vAlign w:val="bottom"/>
            <w:hideMark/>
          </w:tcPr>
          <w:p w14:paraId="29B8E250" w14:textId="6C29F012" w:rsidR="001E2E67" w:rsidRPr="001E2E67" w:rsidRDefault="00957EA1" w:rsidP="001E2E67">
            <w:pPr>
              <w:spacing w:after="0" w:line="240" w:lineRule="auto"/>
              <w:jc w:val="center"/>
              <w:rPr>
                <w:rFonts w:ascii="Calibri" w:eastAsia="Times New Roman" w:hAnsi="Calibri" w:cs="Calibri"/>
                <w:color w:val="000000"/>
              </w:rPr>
            </w:pPr>
            <w:r>
              <w:rPr>
                <w:rFonts w:ascii="Calibri" w:eastAsia="Times New Roman" w:hAnsi="Calibri" w:cs="Calibri"/>
                <w:color w:val="000000"/>
              </w:rPr>
              <w:t>9</w:t>
            </w:r>
          </w:p>
        </w:tc>
        <w:tc>
          <w:tcPr>
            <w:tcW w:w="1079" w:type="dxa"/>
            <w:tcBorders>
              <w:top w:val="single" w:sz="6" w:space="0" w:color="auto"/>
              <w:left w:val="single" w:sz="6" w:space="0" w:color="auto"/>
              <w:bottom w:val="single" w:sz="6" w:space="0" w:color="auto"/>
              <w:right w:val="single" w:sz="6" w:space="0" w:color="auto"/>
            </w:tcBorders>
            <w:noWrap/>
            <w:vAlign w:val="bottom"/>
            <w:hideMark/>
          </w:tcPr>
          <w:p w14:paraId="34CEE105" w14:textId="3380F193" w:rsidR="001E2E67" w:rsidRPr="001E2E67" w:rsidRDefault="00957EA1" w:rsidP="001E2E67">
            <w:pPr>
              <w:spacing w:after="0" w:line="240" w:lineRule="auto"/>
              <w:jc w:val="center"/>
              <w:rPr>
                <w:rFonts w:ascii="Calibri" w:eastAsia="Times New Roman" w:hAnsi="Calibri" w:cs="Calibri"/>
                <w:color w:val="000000"/>
              </w:rPr>
            </w:pPr>
            <w:r>
              <w:rPr>
                <w:rFonts w:ascii="Calibri" w:eastAsia="Times New Roman" w:hAnsi="Calibri" w:cs="Calibri"/>
                <w:color w:val="000000"/>
              </w:rPr>
              <w:t>8</w:t>
            </w:r>
            <w:r w:rsidR="001E2E67" w:rsidRPr="001E2E67">
              <w:rPr>
                <w:rFonts w:ascii="Calibri" w:eastAsia="Times New Roman" w:hAnsi="Calibri" w:cs="Calibri"/>
                <w:color w:val="000000"/>
              </w:rPr>
              <w:t>%</w:t>
            </w:r>
          </w:p>
        </w:tc>
      </w:tr>
      <w:tr w:rsidR="001E2E67" w:rsidRPr="001E2E67" w14:paraId="1773AC17" w14:textId="77777777" w:rsidTr="001E2E67">
        <w:trPr>
          <w:trHeight w:val="246"/>
        </w:trPr>
        <w:tc>
          <w:tcPr>
            <w:tcW w:w="1430" w:type="dxa"/>
            <w:tcBorders>
              <w:top w:val="single" w:sz="6" w:space="0" w:color="auto"/>
              <w:left w:val="single" w:sz="6" w:space="0" w:color="auto"/>
              <w:bottom w:val="single" w:sz="6" w:space="0" w:color="auto"/>
              <w:right w:val="single" w:sz="6" w:space="0" w:color="auto"/>
            </w:tcBorders>
            <w:noWrap/>
            <w:vAlign w:val="bottom"/>
            <w:hideMark/>
          </w:tcPr>
          <w:p w14:paraId="01338C6E" w14:textId="77777777" w:rsidR="001E2E67" w:rsidRPr="001E2E67" w:rsidRDefault="001E2E67" w:rsidP="001E2E67">
            <w:pPr>
              <w:spacing w:after="0" w:line="240" w:lineRule="auto"/>
              <w:jc w:val="center"/>
              <w:rPr>
                <w:rFonts w:ascii="Calibri" w:eastAsia="Times New Roman" w:hAnsi="Calibri" w:cs="Calibri"/>
                <w:color w:val="000000"/>
              </w:rPr>
            </w:pPr>
            <w:r w:rsidRPr="001E2E67">
              <w:rPr>
                <w:rFonts w:ascii="Calibri" w:eastAsia="Times New Roman" w:hAnsi="Calibri" w:cs="Calibri"/>
                <w:color w:val="000000"/>
              </w:rPr>
              <w:t>$0.75</w:t>
            </w:r>
          </w:p>
        </w:tc>
        <w:tc>
          <w:tcPr>
            <w:tcW w:w="1260" w:type="dxa"/>
            <w:tcBorders>
              <w:top w:val="single" w:sz="6" w:space="0" w:color="auto"/>
              <w:left w:val="single" w:sz="6" w:space="0" w:color="auto"/>
              <w:bottom w:val="single" w:sz="6" w:space="0" w:color="auto"/>
              <w:right w:val="single" w:sz="6" w:space="0" w:color="auto"/>
            </w:tcBorders>
            <w:noWrap/>
            <w:vAlign w:val="bottom"/>
            <w:hideMark/>
          </w:tcPr>
          <w:p w14:paraId="319EFD34" w14:textId="111662F4" w:rsidR="001E2E67" w:rsidRPr="001E2E67" w:rsidRDefault="00957EA1" w:rsidP="001E2E67">
            <w:pPr>
              <w:spacing w:after="0" w:line="240" w:lineRule="auto"/>
              <w:jc w:val="center"/>
              <w:rPr>
                <w:rFonts w:ascii="Calibri" w:eastAsia="Times New Roman" w:hAnsi="Calibri" w:cs="Calibri"/>
                <w:color w:val="000000"/>
              </w:rPr>
            </w:pPr>
            <w:r>
              <w:rPr>
                <w:rFonts w:ascii="Calibri" w:eastAsia="Times New Roman" w:hAnsi="Calibri" w:cs="Calibri"/>
                <w:color w:val="000000"/>
              </w:rPr>
              <w:t>9</w:t>
            </w:r>
          </w:p>
        </w:tc>
        <w:tc>
          <w:tcPr>
            <w:tcW w:w="1079" w:type="dxa"/>
            <w:tcBorders>
              <w:top w:val="single" w:sz="6" w:space="0" w:color="auto"/>
              <w:left w:val="single" w:sz="6" w:space="0" w:color="auto"/>
              <w:bottom w:val="single" w:sz="6" w:space="0" w:color="auto"/>
              <w:right w:val="single" w:sz="6" w:space="0" w:color="auto"/>
            </w:tcBorders>
            <w:noWrap/>
            <w:vAlign w:val="bottom"/>
            <w:hideMark/>
          </w:tcPr>
          <w:p w14:paraId="3B6471EF" w14:textId="5DCA963D" w:rsidR="001E2E67" w:rsidRPr="001E2E67" w:rsidRDefault="00957EA1" w:rsidP="001E2E67">
            <w:pPr>
              <w:spacing w:after="0" w:line="240" w:lineRule="auto"/>
              <w:jc w:val="center"/>
              <w:rPr>
                <w:rFonts w:ascii="Calibri" w:eastAsia="Times New Roman" w:hAnsi="Calibri" w:cs="Calibri"/>
                <w:color w:val="000000"/>
              </w:rPr>
            </w:pPr>
            <w:r>
              <w:rPr>
                <w:rFonts w:ascii="Calibri" w:eastAsia="Times New Roman" w:hAnsi="Calibri" w:cs="Calibri"/>
                <w:color w:val="000000"/>
              </w:rPr>
              <w:t>8</w:t>
            </w:r>
            <w:r w:rsidR="001E2E67" w:rsidRPr="001E2E67">
              <w:rPr>
                <w:rFonts w:ascii="Calibri" w:eastAsia="Times New Roman" w:hAnsi="Calibri" w:cs="Calibri"/>
                <w:color w:val="000000"/>
              </w:rPr>
              <w:t>%</w:t>
            </w:r>
          </w:p>
        </w:tc>
      </w:tr>
      <w:tr w:rsidR="001E2E67" w:rsidRPr="001E2E67" w14:paraId="5086D414" w14:textId="77777777" w:rsidTr="001E2E67">
        <w:trPr>
          <w:trHeight w:val="246"/>
        </w:trPr>
        <w:tc>
          <w:tcPr>
            <w:tcW w:w="1430" w:type="dxa"/>
            <w:tcBorders>
              <w:top w:val="single" w:sz="6" w:space="0" w:color="auto"/>
              <w:left w:val="single" w:sz="6" w:space="0" w:color="auto"/>
              <w:bottom w:val="single" w:sz="6" w:space="0" w:color="auto"/>
              <w:right w:val="single" w:sz="6" w:space="0" w:color="auto"/>
            </w:tcBorders>
            <w:noWrap/>
            <w:vAlign w:val="bottom"/>
            <w:hideMark/>
          </w:tcPr>
          <w:p w14:paraId="4B9DAA73" w14:textId="77777777" w:rsidR="001E2E67" w:rsidRPr="001E2E67" w:rsidRDefault="001E2E67" w:rsidP="001E2E67">
            <w:pPr>
              <w:spacing w:after="0" w:line="240" w:lineRule="auto"/>
              <w:jc w:val="center"/>
              <w:rPr>
                <w:rFonts w:ascii="Calibri" w:eastAsia="Times New Roman" w:hAnsi="Calibri" w:cs="Calibri"/>
                <w:color w:val="000000"/>
              </w:rPr>
            </w:pPr>
            <w:r w:rsidRPr="001E2E67">
              <w:rPr>
                <w:rFonts w:ascii="Calibri" w:eastAsia="Times New Roman" w:hAnsi="Calibri" w:cs="Calibri"/>
                <w:color w:val="000000"/>
              </w:rPr>
              <w:t>$0.50</w:t>
            </w:r>
          </w:p>
        </w:tc>
        <w:tc>
          <w:tcPr>
            <w:tcW w:w="1260" w:type="dxa"/>
            <w:tcBorders>
              <w:top w:val="single" w:sz="6" w:space="0" w:color="auto"/>
              <w:left w:val="single" w:sz="6" w:space="0" w:color="auto"/>
              <w:bottom w:val="single" w:sz="6" w:space="0" w:color="auto"/>
              <w:right w:val="single" w:sz="6" w:space="0" w:color="auto"/>
            </w:tcBorders>
            <w:noWrap/>
            <w:vAlign w:val="bottom"/>
            <w:hideMark/>
          </w:tcPr>
          <w:p w14:paraId="7AA0CB2D" w14:textId="554F54E0" w:rsidR="001E2E67" w:rsidRPr="001E2E67" w:rsidRDefault="001E2E67" w:rsidP="001E2E67">
            <w:pPr>
              <w:spacing w:after="0" w:line="240" w:lineRule="auto"/>
              <w:jc w:val="center"/>
              <w:rPr>
                <w:rFonts w:ascii="Calibri" w:eastAsia="Times New Roman" w:hAnsi="Calibri" w:cs="Calibri"/>
                <w:color w:val="000000"/>
              </w:rPr>
            </w:pPr>
            <w:r w:rsidRPr="001E2E67">
              <w:rPr>
                <w:rFonts w:ascii="Calibri" w:eastAsia="Times New Roman" w:hAnsi="Calibri" w:cs="Calibri"/>
                <w:color w:val="000000"/>
              </w:rPr>
              <w:t>3</w:t>
            </w:r>
            <w:r w:rsidR="00957EA1">
              <w:rPr>
                <w:rFonts w:ascii="Calibri" w:eastAsia="Times New Roman" w:hAnsi="Calibri" w:cs="Calibri"/>
                <w:color w:val="000000"/>
              </w:rPr>
              <w:t>1</w:t>
            </w:r>
          </w:p>
        </w:tc>
        <w:tc>
          <w:tcPr>
            <w:tcW w:w="1079" w:type="dxa"/>
            <w:tcBorders>
              <w:top w:val="single" w:sz="6" w:space="0" w:color="auto"/>
              <w:left w:val="single" w:sz="6" w:space="0" w:color="auto"/>
              <w:bottom w:val="single" w:sz="6" w:space="0" w:color="auto"/>
              <w:right w:val="single" w:sz="6" w:space="0" w:color="auto"/>
            </w:tcBorders>
            <w:noWrap/>
            <w:vAlign w:val="bottom"/>
            <w:hideMark/>
          </w:tcPr>
          <w:p w14:paraId="059F6F8B" w14:textId="27E8BFCB" w:rsidR="001E2E67" w:rsidRPr="001E2E67" w:rsidRDefault="00957EA1" w:rsidP="001E2E67">
            <w:pPr>
              <w:spacing w:after="0" w:line="240" w:lineRule="auto"/>
              <w:jc w:val="center"/>
              <w:rPr>
                <w:rFonts w:ascii="Calibri" w:eastAsia="Times New Roman" w:hAnsi="Calibri" w:cs="Calibri"/>
                <w:color w:val="000000"/>
              </w:rPr>
            </w:pPr>
            <w:r>
              <w:rPr>
                <w:rFonts w:ascii="Calibri" w:eastAsia="Times New Roman" w:hAnsi="Calibri" w:cs="Calibri"/>
                <w:color w:val="000000"/>
              </w:rPr>
              <w:t>27</w:t>
            </w:r>
            <w:r w:rsidR="001E2E67" w:rsidRPr="001E2E67">
              <w:rPr>
                <w:rFonts w:ascii="Calibri" w:eastAsia="Times New Roman" w:hAnsi="Calibri" w:cs="Calibri"/>
                <w:color w:val="000000"/>
              </w:rPr>
              <w:t>%</w:t>
            </w:r>
          </w:p>
        </w:tc>
      </w:tr>
    </w:tbl>
    <w:p w14:paraId="705074AF" w14:textId="77777777" w:rsidR="00D45F8A" w:rsidRDefault="00D45F8A" w:rsidP="00D30D25"/>
    <w:p w14:paraId="62DB236F" w14:textId="72B9911A" w:rsidR="00D30D25" w:rsidRDefault="00D30D25" w:rsidP="00D30D25"/>
    <w:tbl>
      <w:tblPr>
        <w:tblpPr w:leftFromText="180" w:rightFromText="180" w:vertAnchor="text" w:horzAnchor="page" w:tblpX="1688" w:tblpY="-689"/>
        <w:tblW w:w="3736" w:type="dxa"/>
        <w:tblLook w:val="04A0" w:firstRow="1" w:lastRow="0" w:firstColumn="1" w:lastColumn="0" w:noHBand="0" w:noVBand="1"/>
      </w:tblPr>
      <w:tblGrid>
        <w:gridCol w:w="3736"/>
      </w:tblGrid>
      <w:tr w:rsidR="006553FF" w:rsidRPr="003424DA" w14:paraId="63D20F6B" w14:textId="2D715827" w:rsidTr="006553FF">
        <w:trPr>
          <w:trHeight w:val="570"/>
        </w:trPr>
        <w:tc>
          <w:tcPr>
            <w:tcW w:w="3736" w:type="dxa"/>
            <w:tcBorders>
              <w:top w:val="single" w:sz="8" w:space="0" w:color="auto"/>
              <w:left w:val="single" w:sz="8" w:space="0" w:color="auto"/>
              <w:bottom w:val="single" w:sz="8" w:space="0" w:color="auto"/>
              <w:right w:val="single" w:sz="8" w:space="0" w:color="auto"/>
            </w:tcBorders>
            <w:shd w:val="clear" w:color="000000" w:fill="C6EFCE"/>
            <w:noWrap/>
            <w:vAlign w:val="bottom"/>
            <w:hideMark/>
          </w:tcPr>
          <w:p w14:paraId="3FEC35A0" w14:textId="57124AE7" w:rsidR="006553FF" w:rsidRPr="000C274D" w:rsidRDefault="006553FF" w:rsidP="00D30D25">
            <w:pPr>
              <w:spacing w:after="0" w:line="240" w:lineRule="auto"/>
              <w:rPr>
                <w:rFonts w:ascii="Calibri" w:eastAsia="Times New Roman" w:hAnsi="Calibri" w:cs="Calibri"/>
                <w:b/>
                <w:color w:val="00B050"/>
              </w:rPr>
            </w:pPr>
            <w:r w:rsidRPr="000C274D">
              <w:rPr>
                <w:rFonts w:ascii="Calibri" w:eastAsia="Times New Roman" w:hAnsi="Calibri" w:cs="Calibri"/>
                <w:b/>
                <w:color w:val="00B050"/>
              </w:rPr>
              <w:t xml:space="preserve">Increase: </w:t>
            </w:r>
            <w:r w:rsidRPr="00B37D1C">
              <w:rPr>
                <w:rFonts w:ascii="Calibri" w:eastAsia="Times New Roman" w:hAnsi="Calibri" w:cs="Calibri"/>
                <w:b/>
                <w:color w:val="00B050"/>
                <w:sz w:val="32"/>
                <w:szCs w:val="32"/>
              </w:rPr>
              <w:t>26</w:t>
            </w:r>
            <w:r w:rsidRPr="000C274D">
              <w:rPr>
                <w:rFonts w:ascii="Calibri" w:eastAsia="Times New Roman" w:hAnsi="Calibri" w:cs="Calibri"/>
                <w:b/>
                <w:color w:val="00B050"/>
                <w:sz w:val="32"/>
                <w:szCs w:val="32"/>
              </w:rPr>
              <w:t xml:space="preserve"> block faces </w:t>
            </w:r>
            <w:r w:rsidRPr="000C274D">
              <w:rPr>
                <w:rFonts w:ascii="Calibri" w:eastAsia="Times New Roman" w:hAnsi="Calibri" w:cs="Calibri"/>
                <w:b/>
                <w:color w:val="00B050"/>
              </w:rPr>
              <w:t>(</w:t>
            </w:r>
            <w:r>
              <w:rPr>
                <w:rFonts w:ascii="Calibri" w:eastAsia="Times New Roman" w:hAnsi="Calibri" w:cs="Calibri"/>
                <w:b/>
                <w:color w:val="00B050"/>
              </w:rPr>
              <w:t>23</w:t>
            </w:r>
            <w:r w:rsidRPr="000C274D">
              <w:rPr>
                <w:rFonts w:ascii="Calibri" w:eastAsia="Times New Roman" w:hAnsi="Calibri" w:cs="Calibri"/>
                <w:b/>
                <w:color w:val="00B050"/>
              </w:rPr>
              <w:t>%)</w:t>
            </w:r>
          </w:p>
        </w:tc>
      </w:tr>
      <w:tr w:rsidR="006553FF" w:rsidRPr="003424DA" w14:paraId="662FC1E5" w14:textId="37E706AE" w:rsidTr="006553FF">
        <w:trPr>
          <w:trHeight w:val="570"/>
        </w:trPr>
        <w:tc>
          <w:tcPr>
            <w:tcW w:w="3736" w:type="dxa"/>
            <w:tcBorders>
              <w:top w:val="nil"/>
              <w:left w:val="single" w:sz="8" w:space="0" w:color="auto"/>
              <w:bottom w:val="single" w:sz="8" w:space="0" w:color="auto"/>
              <w:right w:val="single" w:sz="8" w:space="0" w:color="auto"/>
            </w:tcBorders>
            <w:shd w:val="clear" w:color="000000" w:fill="FFEB9C"/>
            <w:noWrap/>
            <w:vAlign w:val="bottom"/>
            <w:hideMark/>
          </w:tcPr>
          <w:p w14:paraId="0CA662FA" w14:textId="742813FB" w:rsidR="006553FF" w:rsidRPr="00BF622B" w:rsidRDefault="006553FF" w:rsidP="00D30D25">
            <w:pPr>
              <w:spacing w:after="0" w:line="240" w:lineRule="auto"/>
              <w:rPr>
                <w:rFonts w:ascii="Calibri" w:eastAsia="Times New Roman" w:hAnsi="Calibri" w:cs="Calibri"/>
                <w:b/>
                <w:color w:val="9C6500"/>
                <w:highlight w:val="cyan"/>
              </w:rPr>
            </w:pPr>
            <w:r w:rsidRPr="000C274D">
              <w:rPr>
                <w:rFonts w:ascii="Calibri" w:eastAsia="Times New Roman" w:hAnsi="Calibri" w:cs="Calibri"/>
                <w:b/>
                <w:color w:val="9C6500"/>
              </w:rPr>
              <w:t xml:space="preserve">Maintain: </w:t>
            </w:r>
            <w:r w:rsidRPr="00B37D1C">
              <w:rPr>
                <w:rFonts w:ascii="Calibri" w:eastAsia="Times New Roman" w:hAnsi="Calibri" w:cs="Calibri"/>
                <w:b/>
                <w:color w:val="9C6500"/>
                <w:sz w:val="32"/>
                <w:szCs w:val="32"/>
              </w:rPr>
              <w:t>3</w:t>
            </w:r>
            <w:r>
              <w:rPr>
                <w:rFonts w:ascii="Calibri" w:eastAsia="Times New Roman" w:hAnsi="Calibri" w:cs="Calibri"/>
                <w:b/>
                <w:color w:val="9C6500"/>
                <w:sz w:val="32"/>
                <w:szCs w:val="32"/>
              </w:rPr>
              <w:t>9</w:t>
            </w:r>
            <w:r w:rsidRPr="000C274D">
              <w:rPr>
                <w:rFonts w:ascii="Calibri" w:eastAsia="Times New Roman" w:hAnsi="Calibri" w:cs="Calibri"/>
                <w:b/>
                <w:color w:val="9C6500"/>
                <w:sz w:val="32"/>
                <w:szCs w:val="32"/>
              </w:rPr>
              <w:t xml:space="preserve"> block faces </w:t>
            </w:r>
            <w:r w:rsidRPr="000C274D">
              <w:rPr>
                <w:rFonts w:ascii="Calibri" w:eastAsia="Times New Roman" w:hAnsi="Calibri" w:cs="Calibri"/>
                <w:b/>
                <w:color w:val="9C6500"/>
              </w:rPr>
              <w:t>(</w:t>
            </w:r>
            <w:r>
              <w:rPr>
                <w:rFonts w:ascii="Calibri" w:eastAsia="Times New Roman" w:hAnsi="Calibri" w:cs="Calibri"/>
                <w:b/>
                <w:color w:val="9C6500"/>
              </w:rPr>
              <w:t>35</w:t>
            </w:r>
            <w:r w:rsidRPr="000C274D">
              <w:rPr>
                <w:rFonts w:ascii="Calibri" w:eastAsia="Times New Roman" w:hAnsi="Calibri" w:cs="Calibri"/>
                <w:b/>
                <w:color w:val="9C6500"/>
              </w:rPr>
              <w:t>%)</w:t>
            </w:r>
          </w:p>
        </w:tc>
      </w:tr>
      <w:tr w:rsidR="006553FF" w:rsidRPr="003424DA" w14:paraId="7D288C0B" w14:textId="2BFC215D" w:rsidTr="006553FF">
        <w:trPr>
          <w:trHeight w:val="570"/>
        </w:trPr>
        <w:tc>
          <w:tcPr>
            <w:tcW w:w="3736" w:type="dxa"/>
            <w:tcBorders>
              <w:top w:val="nil"/>
              <w:left w:val="single" w:sz="8" w:space="0" w:color="auto"/>
              <w:bottom w:val="single" w:sz="4" w:space="0" w:color="auto"/>
              <w:right w:val="single" w:sz="8" w:space="0" w:color="auto"/>
            </w:tcBorders>
            <w:shd w:val="clear" w:color="000000" w:fill="FFC7CE"/>
            <w:noWrap/>
            <w:vAlign w:val="bottom"/>
            <w:hideMark/>
          </w:tcPr>
          <w:p w14:paraId="512E6D6B" w14:textId="1D911D1F" w:rsidR="006553FF" w:rsidRPr="000C274D" w:rsidRDefault="006553FF" w:rsidP="00D30D25">
            <w:pPr>
              <w:spacing w:after="0" w:line="240" w:lineRule="auto"/>
              <w:rPr>
                <w:rFonts w:ascii="Calibri" w:eastAsia="Times New Roman" w:hAnsi="Calibri" w:cs="Calibri"/>
                <w:b/>
                <w:color w:val="9C0006"/>
              </w:rPr>
            </w:pPr>
            <w:r w:rsidRPr="000C274D">
              <w:rPr>
                <w:rFonts w:ascii="Calibri" w:eastAsia="Times New Roman" w:hAnsi="Calibri" w:cs="Calibri"/>
                <w:b/>
                <w:color w:val="9C0006"/>
              </w:rPr>
              <w:t xml:space="preserve">Decrease: </w:t>
            </w:r>
            <w:r w:rsidRPr="00B37D1C">
              <w:rPr>
                <w:rFonts w:ascii="Calibri" w:eastAsia="Times New Roman" w:hAnsi="Calibri" w:cs="Calibri"/>
                <w:b/>
                <w:color w:val="9C0006"/>
                <w:sz w:val="32"/>
                <w:szCs w:val="32"/>
              </w:rPr>
              <w:t>47</w:t>
            </w:r>
            <w:r w:rsidRPr="000C274D">
              <w:rPr>
                <w:rFonts w:ascii="Calibri" w:eastAsia="Times New Roman" w:hAnsi="Calibri" w:cs="Calibri"/>
                <w:b/>
                <w:color w:val="9C0006"/>
                <w:sz w:val="32"/>
                <w:szCs w:val="32"/>
              </w:rPr>
              <w:t xml:space="preserve"> block faces </w:t>
            </w:r>
            <w:r w:rsidRPr="000C274D">
              <w:rPr>
                <w:rFonts w:ascii="Calibri" w:eastAsia="Times New Roman" w:hAnsi="Calibri" w:cs="Calibri"/>
                <w:b/>
                <w:color w:val="9C0006"/>
              </w:rPr>
              <w:t>(</w:t>
            </w:r>
            <w:r>
              <w:rPr>
                <w:rFonts w:ascii="Calibri" w:eastAsia="Times New Roman" w:hAnsi="Calibri" w:cs="Calibri"/>
                <w:b/>
                <w:color w:val="9C0006"/>
              </w:rPr>
              <w:t>42</w:t>
            </w:r>
            <w:r w:rsidRPr="000C274D">
              <w:rPr>
                <w:rFonts w:ascii="Calibri" w:eastAsia="Times New Roman" w:hAnsi="Calibri" w:cs="Calibri"/>
                <w:b/>
                <w:color w:val="9C0006"/>
              </w:rPr>
              <w:t>%)</w:t>
            </w:r>
          </w:p>
        </w:tc>
      </w:tr>
    </w:tbl>
    <w:p w14:paraId="54007B58" w14:textId="77777777" w:rsidR="00D30D25" w:rsidRDefault="00D30D25" w:rsidP="00D30D25"/>
    <w:p w14:paraId="0D447571" w14:textId="77777777" w:rsidR="00A67D21" w:rsidRPr="000F2FBF" w:rsidRDefault="00A67D21" w:rsidP="000F2FBF">
      <w:pPr>
        <w:pStyle w:val="ListParagraph"/>
        <w:ind w:left="180"/>
      </w:pPr>
    </w:p>
    <w:p w14:paraId="37DE5C8C" w14:textId="426D13AB" w:rsidR="004207D3" w:rsidRDefault="004207D3" w:rsidP="000F2FBF">
      <w:pPr>
        <w:rPr>
          <w:b/>
        </w:rPr>
      </w:pPr>
    </w:p>
    <w:p w14:paraId="0D3D4DF2" w14:textId="77777777" w:rsidR="00F628F5" w:rsidRDefault="00F628F5" w:rsidP="000F2FBF">
      <w:pPr>
        <w:pStyle w:val="ListParagraph"/>
        <w:ind w:left="360"/>
      </w:pPr>
    </w:p>
    <w:p w14:paraId="45CF08FB" w14:textId="77777777" w:rsidR="00F628F5" w:rsidRDefault="00F628F5" w:rsidP="000F2FBF">
      <w:pPr>
        <w:pStyle w:val="ListParagraph"/>
        <w:ind w:left="360"/>
      </w:pPr>
    </w:p>
    <w:p w14:paraId="0C6FB4CB" w14:textId="77777777" w:rsidR="00144601" w:rsidRDefault="00144601" w:rsidP="000B29FA">
      <w:pPr>
        <w:pStyle w:val="ListParagraph"/>
        <w:ind w:left="360"/>
      </w:pPr>
    </w:p>
    <w:p w14:paraId="667F240F" w14:textId="77777777" w:rsidR="00144601" w:rsidRDefault="00144601" w:rsidP="000B29FA">
      <w:pPr>
        <w:pStyle w:val="ListParagraph"/>
        <w:ind w:left="360"/>
      </w:pPr>
    </w:p>
    <w:p w14:paraId="6C39BA9F" w14:textId="77777777" w:rsidR="00144601" w:rsidRDefault="00144601" w:rsidP="000B29FA">
      <w:pPr>
        <w:pStyle w:val="ListParagraph"/>
        <w:ind w:left="360"/>
      </w:pPr>
    </w:p>
    <w:p w14:paraId="7BC82CA9" w14:textId="419C9CE4" w:rsidR="0029283B" w:rsidRDefault="0029283B" w:rsidP="000B29FA">
      <w:pPr>
        <w:pStyle w:val="ListParagraph"/>
        <w:ind w:left="360"/>
      </w:pPr>
    </w:p>
    <w:p w14:paraId="303BBDA2" w14:textId="77777777" w:rsidR="002E0FC9" w:rsidRDefault="002E0FC9" w:rsidP="00B37D1C"/>
    <w:p w14:paraId="68581200" w14:textId="52AEDA9B" w:rsidR="00A53920" w:rsidRDefault="005E416D" w:rsidP="00304BD6">
      <w:pPr>
        <w:pStyle w:val="ListParagraph"/>
        <w:ind w:left="0"/>
      </w:pPr>
      <w:r>
        <w:t xml:space="preserve">For </w:t>
      </w:r>
      <w:r w:rsidR="00F969DA">
        <w:t>Round 2, t</w:t>
      </w:r>
      <w:r w:rsidR="004207D3" w:rsidRPr="004F3E2A">
        <w:t xml:space="preserve">here </w:t>
      </w:r>
      <w:r w:rsidR="00B36158">
        <w:t>will</w:t>
      </w:r>
      <w:r w:rsidR="004207D3" w:rsidRPr="004F3E2A">
        <w:t xml:space="preserve"> be </w:t>
      </w:r>
      <w:proofErr w:type="gramStart"/>
      <w:r w:rsidR="00B37D1C">
        <w:rPr>
          <w:b/>
          <w:bCs/>
          <w:i/>
          <w:iCs/>
        </w:rPr>
        <w:t>9</w:t>
      </w:r>
      <w:r w:rsidR="00CB31B7">
        <w:t xml:space="preserve"> </w:t>
      </w:r>
      <w:r w:rsidR="00DD49DC" w:rsidRPr="004F3E2A">
        <w:t>meter</w:t>
      </w:r>
      <w:proofErr w:type="gramEnd"/>
      <w:r w:rsidR="004207D3" w:rsidRPr="004F3E2A">
        <w:t xml:space="preserve"> rates throughout </w:t>
      </w:r>
      <w:r w:rsidR="00B37D1C">
        <w:t>Mt. Vernon</w:t>
      </w:r>
      <w:r w:rsidR="004207D3" w:rsidRPr="004F3E2A">
        <w:t xml:space="preserve">: </w:t>
      </w:r>
      <w:r w:rsidR="004F3E2A" w:rsidRPr="004F3E2A">
        <w:rPr>
          <w:b/>
          <w:bCs/>
          <w:i/>
          <w:iCs/>
        </w:rPr>
        <w:t>$2.50</w:t>
      </w:r>
      <w:r w:rsidR="004F3E2A">
        <w:t xml:space="preserve">, </w:t>
      </w:r>
      <w:r w:rsidR="004207D3" w:rsidRPr="004F3E2A">
        <w:rPr>
          <w:b/>
          <w:bCs/>
          <w:i/>
          <w:iCs/>
        </w:rPr>
        <w:t>$2.25, $2.00, $1.75, $1.</w:t>
      </w:r>
      <w:r w:rsidR="004F3E2A" w:rsidRPr="004F3E2A">
        <w:rPr>
          <w:b/>
          <w:bCs/>
          <w:i/>
          <w:iCs/>
        </w:rPr>
        <w:t xml:space="preserve">50, </w:t>
      </w:r>
      <w:r w:rsidR="00B37D1C">
        <w:rPr>
          <w:b/>
          <w:bCs/>
          <w:i/>
          <w:iCs/>
        </w:rPr>
        <w:t xml:space="preserve">$1.25, $1.00, </w:t>
      </w:r>
      <w:r w:rsidR="004207D3" w:rsidRPr="004F3E2A">
        <w:rPr>
          <w:b/>
          <w:bCs/>
          <w:i/>
          <w:iCs/>
        </w:rPr>
        <w:t>$0.75 and $0.50</w:t>
      </w:r>
      <w:r w:rsidR="004207D3" w:rsidRPr="004F3E2A">
        <w:t xml:space="preserve">. </w:t>
      </w:r>
      <w:r w:rsidR="004207D3" w:rsidRPr="0093668F">
        <w:t xml:space="preserve">The table </w:t>
      </w:r>
      <w:r w:rsidR="00DF5602">
        <w:t>above</w:t>
      </w:r>
      <w:r w:rsidR="004207D3" w:rsidRPr="0093668F">
        <w:t xml:space="preserve"> shows the number of block faces with each rate. </w:t>
      </w:r>
      <w:r w:rsidR="00EF09F5">
        <w:t xml:space="preserve">Nine </w:t>
      </w:r>
      <w:proofErr w:type="spellStart"/>
      <w:r w:rsidR="00EF09F5">
        <w:t>blockfaces</w:t>
      </w:r>
      <w:proofErr w:type="spellEnd"/>
      <w:r w:rsidR="00EF09F5">
        <w:t xml:space="preserve"> have had increases in both rounds of the study. </w:t>
      </w:r>
      <w:r w:rsidR="00B37D1C">
        <w:t xml:space="preserve">In this round, the data recommends that hourly rates </w:t>
      </w:r>
      <w:r w:rsidR="001D5361">
        <w:t xml:space="preserve">for 12 </w:t>
      </w:r>
      <w:proofErr w:type="spellStart"/>
      <w:r w:rsidR="001D5361">
        <w:t>blockfaces</w:t>
      </w:r>
      <w:proofErr w:type="spellEnd"/>
      <w:r w:rsidR="001D5361">
        <w:t xml:space="preserve"> should fall below $0.50. </w:t>
      </w:r>
      <w:r w:rsidR="004207D3" w:rsidRPr="00EF09F5">
        <w:rPr>
          <w:color w:val="000000"/>
        </w:rPr>
        <w:t xml:space="preserve">When parking utilization remains low consistently and reaches </w:t>
      </w:r>
      <w:r w:rsidR="004207D3" w:rsidRPr="00EF09F5">
        <w:rPr>
          <w:b/>
          <w:bCs/>
          <w:i/>
          <w:iCs/>
          <w:color w:val="000000"/>
        </w:rPr>
        <w:t>$0.50</w:t>
      </w:r>
      <w:r w:rsidR="004207D3" w:rsidRPr="00EF09F5">
        <w:rPr>
          <w:color w:val="000000"/>
        </w:rPr>
        <w:t xml:space="preserve"> per hour, it is worthwhile</w:t>
      </w:r>
      <w:r w:rsidR="004207D3" w:rsidRPr="000B29FA">
        <w:t xml:space="preserve"> to consider removing parking meters or to extend the amount of time that </w:t>
      </w:r>
      <w:r w:rsidR="000F5D22" w:rsidRPr="000F5D22">
        <w:t>a</w:t>
      </w:r>
      <w:r w:rsidR="000F5D22">
        <w:t xml:space="preserve"> parking session may occur</w:t>
      </w:r>
      <w:r w:rsidR="004207D3" w:rsidRPr="000B29FA">
        <w:t xml:space="preserve"> to a longer duration. In this case, because of potential changes in parking behavior due to COVID-19,</w:t>
      </w:r>
      <w:r w:rsidR="00DF5602">
        <w:t xml:space="preserve"> and because this is only the second round of the study,</w:t>
      </w:r>
      <w:r w:rsidR="004207D3" w:rsidRPr="000B29FA">
        <w:t xml:space="preserve"> our recommendation is to wait until a later date once the pandemic has </w:t>
      </w:r>
      <w:r w:rsidR="009E1531">
        <w:t>less influence on parking and travel behavior</w:t>
      </w:r>
      <w:r w:rsidR="004207D3" w:rsidRPr="000B29FA">
        <w:t xml:space="preserve"> and the area is studied again. </w:t>
      </w:r>
    </w:p>
    <w:p w14:paraId="5F220D46" w14:textId="386414B1" w:rsidR="00F4177E" w:rsidRDefault="00F4177E" w:rsidP="00F4177E">
      <w:pPr>
        <w:spacing w:after="0"/>
      </w:pPr>
    </w:p>
    <w:p w14:paraId="631DAB99" w14:textId="6A047750" w:rsidR="00F4177E" w:rsidRPr="00B02B4B" w:rsidRDefault="00F4177E" w:rsidP="00F4177E">
      <w:pPr>
        <w:ind w:left="180"/>
        <w:rPr>
          <w:b/>
          <w:i/>
          <w:iCs/>
        </w:rPr>
      </w:pPr>
      <w:r>
        <w:rPr>
          <w:b/>
          <w:i/>
          <w:iCs/>
        </w:rPr>
        <w:t>Extending Meter-in-Effect Times</w:t>
      </w:r>
    </w:p>
    <w:p w14:paraId="727A911B" w14:textId="473331A1" w:rsidR="00F4177E" w:rsidRDefault="00AD4E0A" w:rsidP="00F4177E">
      <w:pPr>
        <w:spacing w:after="0"/>
      </w:pPr>
      <w:r>
        <w:t xml:space="preserve">The </w:t>
      </w:r>
      <w:r w:rsidR="006E026E">
        <w:t>second</w:t>
      </w:r>
      <w:r>
        <w:t xml:space="preserve"> recommendation of the study is to extend the hours of metering of several high parking demand </w:t>
      </w:r>
      <w:proofErr w:type="spellStart"/>
      <w:r>
        <w:t>blockfaces</w:t>
      </w:r>
      <w:proofErr w:type="spellEnd"/>
      <w:r>
        <w:t xml:space="preserve"> in Mt. Vernon. The PABC recommends extending the meter-in-effect times until 8 p.m. based on uses</w:t>
      </w:r>
      <w:r w:rsidR="00F22922">
        <w:t xml:space="preserve"> – i.e., the presence of businesses that are open and generating high parking demand – in areas where there is a large discrepancy between daytime and evening parking demand or where parking demand is consistently high in the daytime and evening. The </w:t>
      </w:r>
      <w:proofErr w:type="spellStart"/>
      <w:r w:rsidR="00F22922">
        <w:t>blockfaces</w:t>
      </w:r>
      <w:proofErr w:type="spellEnd"/>
      <w:r w:rsidR="00F22922">
        <w:t xml:space="preserve"> we are recommending have extended meter-in-effect times include the S/S of 200 W Centre, the unit block of W Biddle, the 100 block of W Mt Royal, the 100/1200 block of W Mt Royal, and the 800 block of N Charles.</w:t>
      </w:r>
      <w:r w:rsidR="00620BC2">
        <w:t xml:space="preserve"> The table below identifies the selected </w:t>
      </w:r>
      <w:proofErr w:type="spellStart"/>
      <w:r w:rsidR="00620BC2">
        <w:t>blockfaces</w:t>
      </w:r>
      <w:proofErr w:type="spellEnd"/>
      <w:r w:rsidR="00620BC2">
        <w:t xml:space="preserve"> with meter-in-effect times that should be extended based on adjacent uses and parking activity.</w:t>
      </w:r>
    </w:p>
    <w:p w14:paraId="50AF98F5" w14:textId="7B8BDD25" w:rsidR="00620BC2" w:rsidRDefault="00620BC2" w:rsidP="00F4177E">
      <w:pPr>
        <w:spacing w:after="0"/>
      </w:pPr>
    </w:p>
    <w:tbl>
      <w:tblPr>
        <w:tblStyle w:val="TableGrid"/>
        <w:tblW w:w="0" w:type="auto"/>
        <w:tblLook w:val="04A0" w:firstRow="1" w:lastRow="0" w:firstColumn="1" w:lastColumn="0" w:noHBand="0" w:noVBand="1"/>
      </w:tblPr>
      <w:tblGrid>
        <w:gridCol w:w="1082"/>
        <w:gridCol w:w="2338"/>
        <w:gridCol w:w="990"/>
        <w:gridCol w:w="3057"/>
        <w:gridCol w:w="2603"/>
      </w:tblGrid>
      <w:tr w:rsidR="00620BC2" w14:paraId="48EC0D24" w14:textId="77777777" w:rsidTr="005849A7">
        <w:tc>
          <w:tcPr>
            <w:tcW w:w="10070" w:type="dxa"/>
            <w:gridSpan w:val="5"/>
            <w:shd w:val="clear" w:color="auto" w:fill="F7CAAC" w:themeFill="accent2" w:themeFillTint="66"/>
          </w:tcPr>
          <w:p w14:paraId="0D10647F" w14:textId="6CC95167" w:rsidR="00620BC2" w:rsidRPr="005849A7" w:rsidRDefault="00620BC2" w:rsidP="005849A7">
            <w:pPr>
              <w:jc w:val="center"/>
              <w:rPr>
                <w:b/>
                <w:bCs/>
              </w:rPr>
            </w:pPr>
            <w:proofErr w:type="spellStart"/>
            <w:r w:rsidRPr="005849A7">
              <w:rPr>
                <w:b/>
                <w:bCs/>
              </w:rPr>
              <w:t>Blockfaces</w:t>
            </w:r>
            <w:proofErr w:type="spellEnd"/>
            <w:r w:rsidRPr="005849A7">
              <w:rPr>
                <w:b/>
                <w:bCs/>
              </w:rPr>
              <w:t xml:space="preserve"> to Extend Meter-in-Effect Time To 8PM</w:t>
            </w:r>
          </w:p>
        </w:tc>
      </w:tr>
      <w:tr w:rsidR="00620BC2" w14:paraId="727A1938" w14:textId="77777777" w:rsidTr="005849A7">
        <w:tc>
          <w:tcPr>
            <w:tcW w:w="1082" w:type="dxa"/>
            <w:shd w:val="clear" w:color="auto" w:fill="F7CAAC" w:themeFill="accent2" w:themeFillTint="66"/>
          </w:tcPr>
          <w:p w14:paraId="22C0EFFA" w14:textId="253C3FEC" w:rsidR="00620BC2" w:rsidRPr="005849A7" w:rsidRDefault="00620BC2" w:rsidP="00F4177E">
            <w:pPr>
              <w:rPr>
                <w:b/>
                <w:bCs/>
              </w:rPr>
            </w:pPr>
            <w:r w:rsidRPr="005849A7">
              <w:rPr>
                <w:b/>
                <w:bCs/>
              </w:rPr>
              <w:t>Block</w:t>
            </w:r>
          </w:p>
        </w:tc>
        <w:tc>
          <w:tcPr>
            <w:tcW w:w="2338" w:type="dxa"/>
            <w:shd w:val="clear" w:color="auto" w:fill="F7CAAC" w:themeFill="accent2" w:themeFillTint="66"/>
          </w:tcPr>
          <w:p w14:paraId="5EC311C0" w14:textId="54D7CFF2" w:rsidR="00620BC2" w:rsidRPr="005849A7" w:rsidRDefault="00620BC2" w:rsidP="00F4177E">
            <w:pPr>
              <w:rPr>
                <w:b/>
                <w:bCs/>
              </w:rPr>
            </w:pPr>
            <w:r w:rsidRPr="005849A7">
              <w:rPr>
                <w:b/>
                <w:bCs/>
              </w:rPr>
              <w:t>Street</w:t>
            </w:r>
          </w:p>
        </w:tc>
        <w:tc>
          <w:tcPr>
            <w:tcW w:w="990" w:type="dxa"/>
            <w:shd w:val="clear" w:color="auto" w:fill="F7CAAC" w:themeFill="accent2" w:themeFillTint="66"/>
          </w:tcPr>
          <w:p w14:paraId="7C8CDAF9" w14:textId="03F808B3" w:rsidR="00620BC2" w:rsidRPr="005849A7" w:rsidRDefault="00620BC2" w:rsidP="00F4177E">
            <w:pPr>
              <w:rPr>
                <w:b/>
                <w:bCs/>
              </w:rPr>
            </w:pPr>
            <w:r w:rsidRPr="005849A7">
              <w:rPr>
                <w:b/>
                <w:bCs/>
              </w:rPr>
              <w:t>Side</w:t>
            </w:r>
          </w:p>
        </w:tc>
        <w:tc>
          <w:tcPr>
            <w:tcW w:w="3057" w:type="dxa"/>
            <w:shd w:val="clear" w:color="auto" w:fill="F7CAAC" w:themeFill="accent2" w:themeFillTint="66"/>
          </w:tcPr>
          <w:p w14:paraId="42B975B2" w14:textId="17E133B0" w:rsidR="00620BC2" w:rsidRPr="005849A7" w:rsidRDefault="00620BC2" w:rsidP="00F4177E">
            <w:pPr>
              <w:rPr>
                <w:b/>
                <w:bCs/>
              </w:rPr>
            </w:pPr>
            <w:r w:rsidRPr="005849A7">
              <w:rPr>
                <w:b/>
                <w:bCs/>
              </w:rPr>
              <w:t>Current Hours</w:t>
            </w:r>
          </w:p>
        </w:tc>
        <w:tc>
          <w:tcPr>
            <w:tcW w:w="2603" w:type="dxa"/>
            <w:shd w:val="clear" w:color="auto" w:fill="F7CAAC" w:themeFill="accent2" w:themeFillTint="66"/>
          </w:tcPr>
          <w:p w14:paraId="5FE51597" w14:textId="6D38A399" w:rsidR="00620BC2" w:rsidRPr="005849A7" w:rsidRDefault="00620BC2" w:rsidP="00F4177E">
            <w:pPr>
              <w:rPr>
                <w:b/>
                <w:bCs/>
              </w:rPr>
            </w:pPr>
            <w:r w:rsidRPr="005849A7">
              <w:rPr>
                <w:b/>
                <w:bCs/>
              </w:rPr>
              <w:t>New Hours</w:t>
            </w:r>
          </w:p>
        </w:tc>
      </w:tr>
      <w:tr w:rsidR="00620BC2" w14:paraId="74AE6EE6" w14:textId="77777777" w:rsidTr="005849A7">
        <w:tc>
          <w:tcPr>
            <w:tcW w:w="1082" w:type="dxa"/>
          </w:tcPr>
          <w:p w14:paraId="5126719A" w14:textId="12C09DEB" w:rsidR="00620BC2" w:rsidRDefault="00620BC2" w:rsidP="00F4177E">
            <w:r>
              <w:t>200</w:t>
            </w:r>
          </w:p>
        </w:tc>
        <w:tc>
          <w:tcPr>
            <w:tcW w:w="2338" w:type="dxa"/>
          </w:tcPr>
          <w:p w14:paraId="4AE10F50" w14:textId="4A06241B" w:rsidR="00620BC2" w:rsidRDefault="00620BC2" w:rsidP="00F4177E">
            <w:r>
              <w:t>W Centre</w:t>
            </w:r>
          </w:p>
        </w:tc>
        <w:tc>
          <w:tcPr>
            <w:tcW w:w="990" w:type="dxa"/>
          </w:tcPr>
          <w:p w14:paraId="37155F42" w14:textId="74B8D1F7" w:rsidR="00620BC2" w:rsidRDefault="00620BC2" w:rsidP="00F4177E">
            <w:r>
              <w:t>SS</w:t>
            </w:r>
          </w:p>
        </w:tc>
        <w:tc>
          <w:tcPr>
            <w:tcW w:w="3057" w:type="dxa"/>
          </w:tcPr>
          <w:p w14:paraId="49F42FBB" w14:textId="75C266BE" w:rsidR="00620BC2" w:rsidRDefault="005849A7" w:rsidP="00F4177E">
            <w:r>
              <w:t>Mon-Sat, 8AM-6PM</w:t>
            </w:r>
          </w:p>
        </w:tc>
        <w:tc>
          <w:tcPr>
            <w:tcW w:w="2603" w:type="dxa"/>
          </w:tcPr>
          <w:p w14:paraId="37D80116" w14:textId="797565FD" w:rsidR="00620BC2" w:rsidRDefault="005849A7" w:rsidP="00F4177E">
            <w:r>
              <w:t>Mon-Sat, 8AM-8PM</w:t>
            </w:r>
          </w:p>
        </w:tc>
      </w:tr>
      <w:tr w:rsidR="00620BC2" w14:paraId="08D109E5" w14:textId="77777777" w:rsidTr="005849A7">
        <w:tc>
          <w:tcPr>
            <w:tcW w:w="1082" w:type="dxa"/>
          </w:tcPr>
          <w:p w14:paraId="62E15973" w14:textId="77354EF3" w:rsidR="00620BC2" w:rsidRDefault="00620BC2" w:rsidP="00F4177E">
            <w:r>
              <w:t>Unit</w:t>
            </w:r>
          </w:p>
        </w:tc>
        <w:tc>
          <w:tcPr>
            <w:tcW w:w="2338" w:type="dxa"/>
          </w:tcPr>
          <w:p w14:paraId="7A318031" w14:textId="42937477" w:rsidR="00620BC2" w:rsidRDefault="00620BC2" w:rsidP="00F4177E">
            <w:r>
              <w:t>W Biddle</w:t>
            </w:r>
          </w:p>
        </w:tc>
        <w:tc>
          <w:tcPr>
            <w:tcW w:w="990" w:type="dxa"/>
          </w:tcPr>
          <w:p w14:paraId="580FDBD3" w14:textId="0067A947" w:rsidR="00620BC2" w:rsidRDefault="00620BC2" w:rsidP="00F4177E">
            <w:r>
              <w:t>NS</w:t>
            </w:r>
          </w:p>
        </w:tc>
        <w:tc>
          <w:tcPr>
            <w:tcW w:w="3057" w:type="dxa"/>
          </w:tcPr>
          <w:p w14:paraId="73710996" w14:textId="0D3E1257" w:rsidR="00620BC2" w:rsidRDefault="005849A7" w:rsidP="00F4177E">
            <w:r>
              <w:t>Mon-Sat, 8AM-6PM</w:t>
            </w:r>
          </w:p>
        </w:tc>
        <w:tc>
          <w:tcPr>
            <w:tcW w:w="2603" w:type="dxa"/>
          </w:tcPr>
          <w:p w14:paraId="5289BAD3" w14:textId="70C5899B" w:rsidR="00620BC2" w:rsidRDefault="005849A7" w:rsidP="00F4177E">
            <w:r>
              <w:t>Mon-Sat, 8AM-8PM</w:t>
            </w:r>
          </w:p>
        </w:tc>
      </w:tr>
      <w:tr w:rsidR="00620BC2" w14:paraId="63936D50" w14:textId="77777777" w:rsidTr="005849A7">
        <w:tc>
          <w:tcPr>
            <w:tcW w:w="1082" w:type="dxa"/>
          </w:tcPr>
          <w:p w14:paraId="5675567B" w14:textId="38736D8C" w:rsidR="00620BC2" w:rsidRDefault="00620BC2" w:rsidP="00F4177E">
            <w:r>
              <w:t>100</w:t>
            </w:r>
          </w:p>
        </w:tc>
        <w:tc>
          <w:tcPr>
            <w:tcW w:w="2338" w:type="dxa"/>
          </w:tcPr>
          <w:p w14:paraId="6E8380AD" w14:textId="43E94D23" w:rsidR="00620BC2" w:rsidRDefault="00620BC2" w:rsidP="00F4177E">
            <w:r>
              <w:t>W Mt Royal</w:t>
            </w:r>
          </w:p>
        </w:tc>
        <w:tc>
          <w:tcPr>
            <w:tcW w:w="990" w:type="dxa"/>
          </w:tcPr>
          <w:p w14:paraId="45EC5E70" w14:textId="2170FB99" w:rsidR="00620BC2" w:rsidRDefault="00620BC2" w:rsidP="00F4177E">
            <w:r>
              <w:t>NS</w:t>
            </w:r>
          </w:p>
        </w:tc>
        <w:tc>
          <w:tcPr>
            <w:tcW w:w="3057" w:type="dxa"/>
          </w:tcPr>
          <w:p w14:paraId="17EFD69E" w14:textId="2A58383D" w:rsidR="00620BC2" w:rsidRDefault="005849A7" w:rsidP="00F4177E">
            <w:r>
              <w:t>Mon-Sat, 8AM-6PM</w:t>
            </w:r>
          </w:p>
        </w:tc>
        <w:tc>
          <w:tcPr>
            <w:tcW w:w="2603" w:type="dxa"/>
          </w:tcPr>
          <w:p w14:paraId="67091C66" w14:textId="549258CB" w:rsidR="00620BC2" w:rsidRDefault="005849A7" w:rsidP="00F4177E">
            <w:r>
              <w:t>Mon-Sat, 8AM-8PM</w:t>
            </w:r>
          </w:p>
        </w:tc>
      </w:tr>
      <w:tr w:rsidR="00620BC2" w14:paraId="1DBE5F41" w14:textId="77777777" w:rsidTr="005849A7">
        <w:tc>
          <w:tcPr>
            <w:tcW w:w="1082" w:type="dxa"/>
          </w:tcPr>
          <w:p w14:paraId="29D5845C" w14:textId="311A7457" w:rsidR="00620BC2" w:rsidRDefault="00620BC2" w:rsidP="00F4177E">
            <w:r>
              <w:t>100</w:t>
            </w:r>
          </w:p>
        </w:tc>
        <w:tc>
          <w:tcPr>
            <w:tcW w:w="2338" w:type="dxa"/>
          </w:tcPr>
          <w:p w14:paraId="7F437F48" w14:textId="549A4DFA" w:rsidR="00620BC2" w:rsidRDefault="00620BC2" w:rsidP="00F4177E">
            <w:r>
              <w:t>W Mt Royal</w:t>
            </w:r>
          </w:p>
        </w:tc>
        <w:tc>
          <w:tcPr>
            <w:tcW w:w="990" w:type="dxa"/>
          </w:tcPr>
          <w:p w14:paraId="5B76E065" w14:textId="40609DA7" w:rsidR="00620BC2" w:rsidRDefault="00620BC2" w:rsidP="00F4177E">
            <w:r>
              <w:t>SS</w:t>
            </w:r>
          </w:p>
        </w:tc>
        <w:tc>
          <w:tcPr>
            <w:tcW w:w="3057" w:type="dxa"/>
          </w:tcPr>
          <w:p w14:paraId="7A8B6A9D" w14:textId="098D33B1" w:rsidR="00620BC2" w:rsidRDefault="005849A7" w:rsidP="00F4177E">
            <w:r w:rsidRPr="005849A7">
              <w:t>9a-6p MF 8a-6p SA</w:t>
            </w:r>
          </w:p>
        </w:tc>
        <w:tc>
          <w:tcPr>
            <w:tcW w:w="2603" w:type="dxa"/>
          </w:tcPr>
          <w:p w14:paraId="518606C4" w14:textId="696E4D59" w:rsidR="00620BC2" w:rsidRDefault="005849A7" w:rsidP="00F4177E">
            <w:r w:rsidRPr="005849A7">
              <w:t>9a-</w:t>
            </w:r>
            <w:r>
              <w:t>8</w:t>
            </w:r>
            <w:r w:rsidRPr="005849A7">
              <w:t>p MF 8a-</w:t>
            </w:r>
            <w:r>
              <w:t>8</w:t>
            </w:r>
            <w:r w:rsidRPr="005849A7">
              <w:t>p SA</w:t>
            </w:r>
          </w:p>
        </w:tc>
      </w:tr>
      <w:tr w:rsidR="005849A7" w14:paraId="6E46322E" w14:textId="77777777" w:rsidTr="005849A7">
        <w:tc>
          <w:tcPr>
            <w:tcW w:w="1082" w:type="dxa"/>
          </w:tcPr>
          <w:p w14:paraId="1F99DBB1" w14:textId="44D9AA01" w:rsidR="005849A7" w:rsidRDefault="005849A7" w:rsidP="005849A7">
            <w:r>
              <w:t>100/1200</w:t>
            </w:r>
          </w:p>
        </w:tc>
        <w:tc>
          <w:tcPr>
            <w:tcW w:w="2338" w:type="dxa"/>
          </w:tcPr>
          <w:p w14:paraId="6C8DCBD9" w14:textId="521C7030" w:rsidR="005849A7" w:rsidRDefault="005849A7" w:rsidP="005849A7">
            <w:r>
              <w:t>W Mt Royal</w:t>
            </w:r>
          </w:p>
        </w:tc>
        <w:tc>
          <w:tcPr>
            <w:tcW w:w="990" w:type="dxa"/>
          </w:tcPr>
          <w:p w14:paraId="16D226AA" w14:textId="72B79C72" w:rsidR="005849A7" w:rsidRDefault="005849A7" w:rsidP="005849A7">
            <w:r>
              <w:t>SS</w:t>
            </w:r>
          </w:p>
        </w:tc>
        <w:tc>
          <w:tcPr>
            <w:tcW w:w="3057" w:type="dxa"/>
          </w:tcPr>
          <w:p w14:paraId="172211B7" w14:textId="591B9DCC" w:rsidR="005849A7" w:rsidRDefault="005849A7" w:rsidP="005849A7">
            <w:r>
              <w:t>Mon-Sat, 8AM-6PM</w:t>
            </w:r>
          </w:p>
        </w:tc>
        <w:tc>
          <w:tcPr>
            <w:tcW w:w="2603" w:type="dxa"/>
          </w:tcPr>
          <w:p w14:paraId="110E57AD" w14:textId="3B11C5AD" w:rsidR="005849A7" w:rsidRDefault="005849A7" w:rsidP="005849A7">
            <w:r>
              <w:t>Mon-Sat, 8AM-8PM</w:t>
            </w:r>
          </w:p>
        </w:tc>
      </w:tr>
      <w:tr w:rsidR="005849A7" w14:paraId="5912F602" w14:textId="77777777" w:rsidTr="005849A7">
        <w:tc>
          <w:tcPr>
            <w:tcW w:w="1082" w:type="dxa"/>
          </w:tcPr>
          <w:p w14:paraId="4F1DB082" w14:textId="2225CD6A" w:rsidR="005849A7" w:rsidRDefault="005849A7" w:rsidP="005849A7">
            <w:r>
              <w:t>800</w:t>
            </w:r>
          </w:p>
        </w:tc>
        <w:tc>
          <w:tcPr>
            <w:tcW w:w="2338" w:type="dxa"/>
          </w:tcPr>
          <w:p w14:paraId="41093FAC" w14:textId="37735C95" w:rsidR="005849A7" w:rsidRDefault="005849A7" w:rsidP="005849A7">
            <w:r>
              <w:t>N Charles</w:t>
            </w:r>
          </w:p>
        </w:tc>
        <w:tc>
          <w:tcPr>
            <w:tcW w:w="990" w:type="dxa"/>
          </w:tcPr>
          <w:p w14:paraId="1ADC7829" w14:textId="0418DF75" w:rsidR="005849A7" w:rsidRDefault="005849A7" w:rsidP="005849A7">
            <w:r>
              <w:t>ES</w:t>
            </w:r>
          </w:p>
        </w:tc>
        <w:tc>
          <w:tcPr>
            <w:tcW w:w="3057" w:type="dxa"/>
          </w:tcPr>
          <w:p w14:paraId="16FA8C19" w14:textId="1175BC26" w:rsidR="005849A7" w:rsidRDefault="00DA0B3E" w:rsidP="005849A7">
            <w:r w:rsidRPr="00DA0B3E">
              <w:t>8a-4p M-F, 8a-6p on Sat</w:t>
            </w:r>
          </w:p>
        </w:tc>
        <w:tc>
          <w:tcPr>
            <w:tcW w:w="2603" w:type="dxa"/>
          </w:tcPr>
          <w:p w14:paraId="24DD4E56" w14:textId="711C38EC" w:rsidR="005849A7" w:rsidRDefault="005849A7" w:rsidP="005849A7">
            <w:r w:rsidRPr="005849A7">
              <w:t>8a-4p</w:t>
            </w:r>
            <w:r>
              <w:t xml:space="preserve">, 6p-8p </w:t>
            </w:r>
            <w:r w:rsidRPr="005849A7">
              <w:t>M-F, 8a-</w:t>
            </w:r>
            <w:r>
              <w:t>8</w:t>
            </w:r>
            <w:r w:rsidRPr="005849A7">
              <w:t>p on Sat</w:t>
            </w:r>
          </w:p>
        </w:tc>
      </w:tr>
      <w:tr w:rsidR="005849A7" w14:paraId="7A4528B3" w14:textId="77777777" w:rsidTr="005849A7">
        <w:tc>
          <w:tcPr>
            <w:tcW w:w="1082" w:type="dxa"/>
          </w:tcPr>
          <w:p w14:paraId="7B147D82" w14:textId="3FD4C565" w:rsidR="005849A7" w:rsidRDefault="005849A7" w:rsidP="005849A7">
            <w:r>
              <w:t>800</w:t>
            </w:r>
          </w:p>
        </w:tc>
        <w:tc>
          <w:tcPr>
            <w:tcW w:w="2338" w:type="dxa"/>
          </w:tcPr>
          <w:p w14:paraId="5C1FCC73" w14:textId="595A3375" w:rsidR="005849A7" w:rsidRDefault="005849A7" w:rsidP="005849A7">
            <w:r>
              <w:t>N Charles</w:t>
            </w:r>
          </w:p>
        </w:tc>
        <w:tc>
          <w:tcPr>
            <w:tcW w:w="990" w:type="dxa"/>
          </w:tcPr>
          <w:p w14:paraId="4AF34B17" w14:textId="089CA428" w:rsidR="005849A7" w:rsidRDefault="005849A7" w:rsidP="005849A7">
            <w:r>
              <w:t>WS</w:t>
            </w:r>
          </w:p>
        </w:tc>
        <w:tc>
          <w:tcPr>
            <w:tcW w:w="3057" w:type="dxa"/>
          </w:tcPr>
          <w:p w14:paraId="7294A019" w14:textId="473D8D98" w:rsidR="005849A7" w:rsidRDefault="005849A7" w:rsidP="005849A7">
            <w:r>
              <w:t>Mon-Sat, 8AM-6PM</w:t>
            </w:r>
          </w:p>
        </w:tc>
        <w:tc>
          <w:tcPr>
            <w:tcW w:w="2603" w:type="dxa"/>
          </w:tcPr>
          <w:p w14:paraId="4ACECAC1" w14:textId="57CF7987" w:rsidR="005849A7" w:rsidRDefault="005849A7" w:rsidP="005849A7">
            <w:r>
              <w:t>Mon-Sat, 8AM-8PM</w:t>
            </w:r>
          </w:p>
        </w:tc>
      </w:tr>
    </w:tbl>
    <w:p w14:paraId="3FAFD518" w14:textId="77777777" w:rsidR="00620BC2" w:rsidRDefault="00620BC2" w:rsidP="00F4177E">
      <w:pPr>
        <w:spacing w:after="0"/>
      </w:pPr>
    </w:p>
    <w:p w14:paraId="38D2AD59" w14:textId="68D5A201" w:rsidR="00A266B5" w:rsidRPr="00B02B4B" w:rsidRDefault="006E026E" w:rsidP="00A266B5">
      <w:pPr>
        <w:ind w:left="180"/>
        <w:rPr>
          <w:b/>
          <w:i/>
          <w:iCs/>
        </w:rPr>
      </w:pPr>
      <w:r>
        <w:rPr>
          <w:b/>
          <w:i/>
          <w:iCs/>
        </w:rPr>
        <w:t xml:space="preserve">Commencement of Metering </w:t>
      </w:r>
    </w:p>
    <w:p w14:paraId="0550FB17" w14:textId="45674825" w:rsidR="00A266B5" w:rsidRDefault="00A266B5" w:rsidP="00A266B5">
      <w:pPr>
        <w:spacing w:after="0"/>
      </w:pPr>
      <w:r>
        <w:t xml:space="preserve">The </w:t>
      </w:r>
      <w:r w:rsidR="006E026E">
        <w:t>third</w:t>
      </w:r>
      <w:r>
        <w:t xml:space="preserve"> recommendation of the study is to add metering to two </w:t>
      </w:r>
      <w:proofErr w:type="spellStart"/>
      <w:r>
        <w:t>blockfaces</w:t>
      </w:r>
      <w:proofErr w:type="spellEnd"/>
      <w:r>
        <w:t xml:space="preserve"> in Mt. Vernon. The </w:t>
      </w:r>
      <w:proofErr w:type="spellStart"/>
      <w:r>
        <w:t>blockfaces</w:t>
      </w:r>
      <w:proofErr w:type="spellEnd"/>
      <w:r>
        <w:t xml:space="preserve"> of 200 E Mt Royal N/S and 800 N Calvert E/S were mentioned in the round 1 study as </w:t>
      </w:r>
      <w:proofErr w:type="spellStart"/>
      <w:r>
        <w:t>blockfaces</w:t>
      </w:r>
      <w:proofErr w:type="spellEnd"/>
      <w:r>
        <w:t xml:space="preserve"> to potentially meter. The data from round 2 indicate high parking utilization on </w:t>
      </w:r>
      <w:r w:rsidR="009E1531">
        <w:t>both</w:t>
      </w:r>
      <w:r>
        <w:t xml:space="preserve"> </w:t>
      </w:r>
      <w:proofErr w:type="spellStart"/>
      <w:r>
        <w:t>blockfaces</w:t>
      </w:r>
      <w:proofErr w:type="spellEnd"/>
      <w:r>
        <w:t xml:space="preserve"> once again, so the PABC will move forward with advising the </w:t>
      </w:r>
      <w:r w:rsidR="009E1531">
        <w:t>City C</w:t>
      </w:r>
      <w:r>
        <w:t xml:space="preserve">ouncilmember from District 12 that we will install meters at these locations and then installing meters. </w:t>
      </w:r>
    </w:p>
    <w:p w14:paraId="62B41643" w14:textId="77777777" w:rsidR="00F4177E" w:rsidRDefault="00F4177E" w:rsidP="00F4177E">
      <w:pPr>
        <w:spacing w:after="0"/>
        <w:rPr>
          <w:rFonts w:cstheme="minorHAnsi"/>
        </w:rPr>
      </w:pPr>
    </w:p>
    <w:p w14:paraId="0A0AFD31" w14:textId="77777777" w:rsidR="006E026E" w:rsidRDefault="006E026E" w:rsidP="006E026E">
      <w:pPr>
        <w:rPr>
          <w:b/>
          <w:bCs/>
        </w:rPr>
      </w:pPr>
      <w:r>
        <w:rPr>
          <w:b/>
          <w:bCs/>
        </w:rPr>
        <w:t xml:space="preserve">Target Utilization </w:t>
      </w:r>
    </w:p>
    <w:p w14:paraId="51745F1E" w14:textId="77777777" w:rsidR="006E026E" w:rsidRDefault="006E026E" w:rsidP="00DA36E0">
      <w:pPr>
        <w:spacing w:after="0"/>
        <w:rPr>
          <w:rFonts w:cstheme="minorHAnsi"/>
        </w:rPr>
      </w:pPr>
    </w:p>
    <w:p w14:paraId="45D9BE22" w14:textId="4414C9E5" w:rsidR="007E1992" w:rsidRPr="00DA36E0" w:rsidRDefault="00E04C23" w:rsidP="00DA36E0">
      <w:pPr>
        <w:spacing w:after="0"/>
        <w:rPr>
          <w:rFonts w:cstheme="minorHAnsi"/>
        </w:rPr>
      </w:pPr>
      <w:r>
        <w:rPr>
          <w:rFonts w:cstheme="minorHAnsi"/>
        </w:rPr>
        <w:t xml:space="preserve">The </w:t>
      </w:r>
      <w:proofErr w:type="gramStart"/>
      <w:r w:rsidR="00344B1E">
        <w:rPr>
          <w:rFonts w:cstheme="minorHAnsi"/>
        </w:rPr>
        <w:t>first</w:t>
      </w:r>
      <w:r w:rsidR="00EF09F5">
        <w:rPr>
          <w:rFonts w:cstheme="minorHAnsi"/>
        </w:rPr>
        <w:t xml:space="preserve"> </w:t>
      </w:r>
      <w:r w:rsidR="009E1531">
        <w:rPr>
          <w:rFonts w:cstheme="minorHAnsi"/>
        </w:rPr>
        <w:t>round</w:t>
      </w:r>
      <w:proofErr w:type="gramEnd"/>
      <w:r w:rsidR="009E1531">
        <w:rPr>
          <w:rFonts w:cstheme="minorHAnsi"/>
        </w:rPr>
        <w:t xml:space="preserve"> study</w:t>
      </w:r>
      <w:r>
        <w:rPr>
          <w:rFonts w:cstheme="minorHAnsi"/>
        </w:rPr>
        <w:t xml:space="preserve"> </w:t>
      </w:r>
      <w:r w:rsidR="009E1531">
        <w:rPr>
          <w:rFonts w:cstheme="minorHAnsi"/>
        </w:rPr>
        <w:t>found that 10</w:t>
      </w:r>
      <w:r>
        <w:rPr>
          <w:rFonts w:cstheme="minorHAnsi"/>
        </w:rPr>
        <w:t xml:space="preserve"> </w:t>
      </w:r>
      <w:proofErr w:type="spellStart"/>
      <w:r w:rsidR="009E1531">
        <w:rPr>
          <w:rFonts w:cstheme="minorHAnsi"/>
        </w:rPr>
        <w:t>blockfaces</w:t>
      </w:r>
      <w:proofErr w:type="spellEnd"/>
      <w:r w:rsidR="009E1531">
        <w:rPr>
          <w:rFonts w:cstheme="minorHAnsi"/>
        </w:rPr>
        <w:t xml:space="preserve"> (9%) were at </w:t>
      </w:r>
      <w:r>
        <w:rPr>
          <w:rFonts w:cstheme="minorHAnsi"/>
        </w:rPr>
        <w:t>target utilization</w:t>
      </w:r>
      <w:r w:rsidR="009E1531">
        <w:rPr>
          <w:rFonts w:cstheme="minorHAnsi"/>
        </w:rPr>
        <w:t>.</w:t>
      </w:r>
      <w:r w:rsidR="00344B1E">
        <w:rPr>
          <w:rFonts w:cstheme="minorHAnsi"/>
        </w:rPr>
        <w:t xml:space="preserve"> The second</w:t>
      </w:r>
      <w:r w:rsidR="00EF09F5">
        <w:rPr>
          <w:rFonts w:cstheme="minorHAnsi"/>
        </w:rPr>
        <w:t xml:space="preserve"> </w:t>
      </w:r>
      <w:r w:rsidR="009E1531">
        <w:rPr>
          <w:rFonts w:cstheme="minorHAnsi"/>
        </w:rPr>
        <w:t>study</w:t>
      </w:r>
      <w:r w:rsidR="00344B1E">
        <w:rPr>
          <w:rFonts w:cstheme="minorHAnsi"/>
        </w:rPr>
        <w:t xml:space="preserve"> showed </w:t>
      </w:r>
      <w:r w:rsidR="00825AC6">
        <w:rPr>
          <w:rFonts w:cstheme="minorHAnsi"/>
        </w:rPr>
        <w:t>39</w:t>
      </w:r>
      <w:r w:rsidR="00344B1E">
        <w:rPr>
          <w:rFonts w:cstheme="minorHAnsi"/>
        </w:rPr>
        <w:t xml:space="preserve"> </w:t>
      </w:r>
      <w:proofErr w:type="spellStart"/>
      <w:r w:rsidR="00344B1E">
        <w:rPr>
          <w:rFonts w:cstheme="minorHAnsi"/>
        </w:rPr>
        <w:t>blockfaces</w:t>
      </w:r>
      <w:proofErr w:type="spellEnd"/>
      <w:r w:rsidR="00344B1E">
        <w:rPr>
          <w:rFonts w:cstheme="minorHAnsi"/>
        </w:rPr>
        <w:t xml:space="preserve"> </w:t>
      </w:r>
      <w:r w:rsidR="00EF09F5">
        <w:rPr>
          <w:rFonts w:cstheme="minorHAnsi"/>
        </w:rPr>
        <w:t xml:space="preserve">(35%) </w:t>
      </w:r>
      <w:r w:rsidR="00344B1E">
        <w:rPr>
          <w:rFonts w:cstheme="minorHAnsi"/>
        </w:rPr>
        <w:t xml:space="preserve">reaching target utilization. </w:t>
      </w:r>
      <w:r w:rsidR="00D4002C">
        <w:rPr>
          <w:rFonts w:cstheme="minorHAnsi"/>
        </w:rPr>
        <w:t xml:space="preserve">We anticipate that the percentage of </w:t>
      </w:r>
      <w:proofErr w:type="spellStart"/>
      <w:r w:rsidR="00D4002C">
        <w:rPr>
          <w:rFonts w:cstheme="minorHAnsi"/>
        </w:rPr>
        <w:t>blockfaces</w:t>
      </w:r>
      <w:proofErr w:type="spellEnd"/>
      <w:r w:rsidR="00D4002C">
        <w:rPr>
          <w:rFonts w:cstheme="minorHAnsi"/>
        </w:rPr>
        <w:t xml:space="preserve"> achieving the </w:t>
      </w:r>
      <w:r w:rsidR="00D4002C">
        <w:rPr>
          <w:rFonts w:cstheme="minorHAnsi"/>
        </w:rPr>
        <w:lastRenderedPageBreak/>
        <w:t xml:space="preserve">target parking utilization will increase with future reviews. This would signify improvement in parking availability as </w:t>
      </w:r>
      <w:r w:rsidR="00DA36E0">
        <w:rPr>
          <w:rFonts w:cstheme="minorHAnsi"/>
        </w:rPr>
        <w:t>well as</w:t>
      </w:r>
      <w:r w:rsidR="00D4002C">
        <w:rPr>
          <w:rFonts w:cstheme="minorHAnsi"/>
        </w:rPr>
        <w:t xml:space="preserve"> distribute the parking utilization more evenly throughout </w:t>
      </w:r>
      <w:r w:rsidR="00B36158">
        <w:rPr>
          <w:rFonts w:cstheme="minorHAnsi"/>
        </w:rPr>
        <w:t>Mt. Vernon</w:t>
      </w:r>
      <w:r w:rsidR="00DA36E0">
        <w:rPr>
          <w:rFonts w:cstheme="minorHAnsi"/>
        </w:rPr>
        <w:t xml:space="preserve">. </w:t>
      </w:r>
      <w:r w:rsidR="00BE61A9">
        <w:t xml:space="preserve">The following pages include a spreadsheet with new meter rates along with maps which </w:t>
      </w:r>
      <w:r w:rsidR="00592C48">
        <w:t>depict</w:t>
      </w:r>
      <w:r w:rsidR="00BE61A9">
        <w:t xml:space="preserve"> the </w:t>
      </w:r>
      <w:r w:rsidR="00DA36E0">
        <w:t>recommendations</w:t>
      </w:r>
      <w:r w:rsidR="00B36158">
        <w:t xml:space="preserve"> and the new meter rates</w:t>
      </w:r>
      <w:r w:rsidR="00BE61A9">
        <w:t xml:space="preserve">. </w:t>
      </w:r>
    </w:p>
    <w:p w14:paraId="2A0568D6" w14:textId="5C67F9B1" w:rsidR="000B3441" w:rsidRDefault="00F4177E" w:rsidP="00C00B77">
      <w:pPr>
        <w:jc w:val="center"/>
      </w:pPr>
      <w:r>
        <w:rPr>
          <w:noProof/>
        </w:rPr>
        <w:lastRenderedPageBreak/>
        <w:drawing>
          <wp:inline distT="0" distB="0" distL="0" distR="0" wp14:anchorId="1BE2E6AD" wp14:editId="63F0B996">
            <wp:extent cx="6358890" cy="8229600"/>
            <wp:effectExtent l="0" t="0" r="3810" b="0"/>
            <wp:docPr id="6" name="Picture 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ble&#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358890" cy="8229600"/>
                    </a:xfrm>
                    <a:prstGeom prst="rect">
                      <a:avLst/>
                    </a:prstGeom>
                  </pic:spPr>
                </pic:pic>
              </a:graphicData>
            </a:graphic>
          </wp:inline>
        </w:drawing>
      </w:r>
    </w:p>
    <w:p w14:paraId="0C9577DD" w14:textId="11106170" w:rsidR="00B750B7" w:rsidRDefault="00F4177E" w:rsidP="00CA62FA">
      <w:pPr>
        <w:jc w:val="center"/>
      </w:pPr>
      <w:r>
        <w:rPr>
          <w:noProof/>
        </w:rPr>
        <w:lastRenderedPageBreak/>
        <w:drawing>
          <wp:inline distT="0" distB="0" distL="0" distR="0" wp14:anchorId="3C76B2F2" wp14:editId="4CF4F087">
            <wp:extent cx="6358890" cy="8229600"/>
            <wp:effectExtent l="0" t="0" r="3810" b="0"/>
            <wp:docPr id="10" name="Picture 10"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able&#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358890" cy="8229600"/>
                    </a:xfrm>
                    <a:prstGeom prst="rect">
                      <a:avLst/>
                    </a:prstGeom>
                  </pic:spPr>
                </pic:pic>
              </a:graphicData>
            </a:graphic>
          </wp:inline>
        </w:drawing>
      </w:r>
    </w:p>
    <w:p w14:paraId="03FFFD9A" w14:textId="77777777" w:rsidR="00B750B7" w:rsidRDefault="00F4177E" w:rsidP="00D2791C">
      <w:pPr>
        <w:jc w:val="center"/>
      </w:pPr>
      <w:r>
        <w:rPr>
          <w:noProof/>
        </w:rPr>
        <w:lastRenderedPageBreak/>
        <w:drawing>
          <wp:inline distT="0" distB="0" distL="0" distR="0" wp14:anchorId="401262BA" wp14:editId="47DBAF20">
            <wp:extent cx="6358890" cy="6434138"/>
            <wp:effectExtent l="0" t="0" r="3810" b="5080"/>
            <wp:docPr id="11" name="Picture 1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able&#10;&#10;Description automatically generated"/>
                    <pic:cNvPicPr/>
                  </pic:nvPicPr>
                  <pic:blipFill rotWithShape="1">
                    <a:blip r:embed="rId16" cstate="print">
                      <a:extLst>
                        <a:ext uri="{28A0092B-C50C-407E-A947-70E740481C1C}">
                          <a14:useLocalDpi xmlns:a14="http://schemas.microsoft.com/office/drawing/2010/main" val="0"/>
                        </a:ext>
                      </a:extLst>
                    </a:blip>
                    <a:srcRect b="21817"/>
                    <a:stretch/>
                  </pic:blipFill>
                  <pic:spPr bwMode="auto">
                    <a:xfrm>
                      <a:off x="0" y="0"/>
                      <a:ext cx="6358890" cy="6434138"/>
                    </a:xfrm>
                    <a:prstGeom prst="rect">
                      <a:avLst/>
                    </a:prstGeom>
                    <a:ln>
                      <a:noFill/>
                    </a:ln>
                    <a:extLst>
                      <a:ext uri="{53640926-AAD7-44D8-BBD7-CCE9431645EC}">
                        <a14:shadowObscured xmlns:a14="http://schemas.microsoft.com/office/drawing/2010/main"/>
                      </a:ext>
                    </a:extLst>
                  </pic:spPr>
                </pic:pic>
              </a:graphicData>
            </a:graphic>
          </wp:inline>
        </w:drawing>
      </w:r>
    </w:p>
    <w:p w14:paraId="242B70B2" w14:textId="2DAFF2C3" w:rsidR="00D2791C" w:rsidRPr="00CA62FA" w:rsidRDefault="00D2791C" w:rsidP="00D2791C">
      <w:pPr>
        <w:jc w:val="center"/>
        <w:sectPr w:rsidR="00D2791C" w:rsidRPr="00CA62FA" w:rsidSect="001C1890">
          <w:footerReference w:type="default" r:id="rId17"/>
          <w:pgSz w:w="12240" w:h="15840"/>
          <w:pgMar w:top="1440" w:right="1080" w:bottom="1440" w:left="1080" w:header="720" w:footer="720" w:gutter="0"/>
          <w:cols w:space="720"/>
          <w:docGrid w:linePitch="360"/>
        </w:sectPr>
      </w:pPr>
    </w:p>
    <w:p w14:paraId="4E7F496C" w14:textId="782F536D" w:rsidR="00501F48" w:rsidRDefault="00D2791C" w:rsidP="00501F48">
      <w:pPr>
        <w:jc w:val="center"/>
        <w:rPr>
          <w:noProof/>
        </w:rPr>
      </w:pPr>
      <w:r>
        <w:rPr>
          <w:noProof/>
        </w:rPr>
        <w:lastRenderedPageBreak/>
        <w:drawing>
          <wp:inline distT="0" distB="0" distL="0" distR="0" wp14:anchorId="44D3D5C7" wp14:editId="1A61598C">
            <wp:extent cx="5652589" cy="7315200"/>
            <wp:effectExtent l="0" t="0" r="5715" b="0"/>
            <wp:docPr id="13" name="Picture 13"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Map&#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5665841" cy="7332350"/>
                    </a:xfrm>
                    <a:prstGeom prst="rect">
                      <a:avLst/>
                    </a:prstGeom>
                  </pic:spPr>
                </pic:pic>
              </a:graphicData>
            </a:graphic>
          </wp:inline>
        </w:drawing>
      </w:r>
    </w:p>
    <w:p w14:paraId="4AA07C46" w14:textId="77777777" w:rsidR="00D2791C" w:rsidRDefault="00D2791C" w:rsidP="00501F48">
      <w:pPr>
        <w:jc w:val="center"/>
        <w:rPr>
          <w:noProof/>
        </w:rPr>
      </w:pPr>
    </w:p>
    <w:p w14:paraId="459650CC" w14:textId="0F9573EC" w:rsidR="00501F48" w:rsidRDefault="00D2791C" w:rsidP="00B36158">
      <w:pPr>
        <w:jc w:val="center"/>
        <w:rPr>
          <w:noProof/>
        </w:rPr>
      </w:pPr>
      <w:r>
        <w:rPr>
          <w:noProof/>
        </w:rPr>
        <w:lastRenderedPageBreak/>
        <w:drawing>
          <wp:inline distT="0" distB="0" distL="0" distR="0" wp14:anchorId="738CE9D1" wp14:editId="133BFE71">
            <wp:extent cx="5357813" cy="6933721"/>
            <wp:effectExtent l="0" t="0" r="0" b="635"/>
            <wp:docPr id="15" name="Picture 15"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Map&#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5364472" cy="6942339"/>
                    </a:xfrm>
                    <a:prstGeom prst="rect">
                      <a:avLst/>
                    </a:prstGeom>
                  </pic:spPr>
                </pic:pic>
              </a:graphicData>
            </a:graphic>
          </wp:inline>
        </w:drawing>
      </w:r>
    </w:p>
    <w:sectPr w:rsidR="00501F48" w:rsidSect="00D2791C">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16BB9" w14:textId="77777777" w:rsidR="00C1126D" w:rsidRDefault="00C1126D" w:rsidP="00DA6568">
      <w:pPr>
        <w:spacing w:after="0" w:line="240" w:lineRule="auto"/>
      </w:pPr>
      <w:r>
        <w:separator/>
      </w:r>
    </w:p>
  </w:endnote>
  <w:endnote w:type="continuationSeparator" w:id="0">
    <w:p w14:paraId="7EB1467A" w14:textId="77777777" w:rsidR="00C1126D" w:rsidRDefault="00C1126D" w:rsidP="00DA6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9576"/>
      <w:gridCol w:w="504"/>
    </w:tblGrid>
    <w:tr w:rsidR="00A25C15" w14:paraId="5FF6B905" w14:textId="77777777" w:rsidTr="008172CD">
      <w:trPr>
        <w:jc w:val="right"/>
      </w:trPr>
      <w:tc>
        <w:tcPr>
          <w:tcW w:w="4795" w:type="dxa"/>
          <w:vAlign w:val="center"/>
        </w:tcPr>
        <w:sdt>
          <w:sdtPr>
            <w:rPr>
              <w:caps/>
              <w:color w:val="000000" w:themeColor="text1"/>
            </w:rPr>
            <w:alias w:val="Author"/>
            <w:tag w:val=""/>
            <w:id w:val="1534539408"/>
            <w:placeholder>
              <w:docPart w:val="8E1A81D690A4414283F0707A50CA2E64"/>
            </w:placeholder>
            <w:dataBinding w:prefixMappings="xmlns:ns0='http://purl.org/dc/elements/1.1/' xmlns:ns1='http://schemas.openxmlformats.org/package/2006/metadata/core-properties' " w:xpath="/ns1:coreProperties[1]/ns0:creator[1]" w:storeItemID="{6C3C8BC8-F283-45AE-878A-BAB7291924A1}"/>
            <w:text/>
          </w:sdtPr>
          <w:sdtEndPr/>
          <w:sdtContent>
            <w:p w14:paraId="6F2A30BF" w14:textId="57BEAADB" w:rsidR="00A25C15" w:rsidRDefault="00A25C15">
              <w:pPr>
                <w:pStyle w:val="Header"/>
                <w:jc w:val="right"/>
                <w:rPr>
                  <w:caps/>
                  <w:color w:val="000000" w:themeColor="text1"/>
                </w:rPr>
              </w:pPr>
              <w:r>
                <w:rPr>
                  <w:caps/>
                  <w:color w:val="000000" w:themeColor="text1"/>
                </w:rPr>
                <w:t xml:space="preserve">Demand based parking meter rate adjustments: </w:t>
              </w:r>
              <w:r w:rsidR="00541D2A">
                <w:rPr>
                  <w:caps/>
                  <w:color w:val="000000" w:themeColor="text1"/>
                </w:rPr>
                <w:t>Mt. Vernon</w:t>
              </w:r>
            </w:p>
          </w:sdtContent>
        </w:sdt>
      </w:tc>
      <w:tc>
        <w:tcPr>
          <w:tcW w:w="250" w:type="pct"/>
          <w:shd w:val="clear" w:color="auto" w:fill="44546A" w:themeFill="text2"/>
          <w:vAlign w:val="center"/>
        </w:tcPr>
        <w:p w14:paraId="409CF1D8" w14:textId="77777777" w:rsidR="00A25C15" w:rsidRPr="008172CD" w:rsidRDefault="00A25C15">
          <w:pPr>
            <w:pStyle w:val="Footer"/>
            <w:tabs>
              <w:tab w:val="clear" w:pos="4680"/>
              <w:tab w:val="clear" w:pos="9360"/>
            </w:tabs>
            <w:jc w:val="center"/>
            <w:rPr>
              <w:color w:val="FFFFFF" w:themeColor="background1"/>
            </w:rPr>
          </w:pPr>
          <w:r w:rsidRPr="008172CD">
            <w:rPr>
              <w:color w:val="FFFFFF" w:themeColor="background1"/>
            </w:rPr>
            <w:fldChar w:fldCharType="begin"/>
          </w:r>
          <w:r w:rsidRPr="008172CD">
            <w:rPr>
              <w:color w:val="FFFFFF" w:themeColor="background1"/>
            </w:rPr>
            <w:instrText xml:space="preserve"> PAGE   \* MERGEFORMAT </w:instrText>
          </w:r>
          <w:r w:rsidRPr="008172CD">
            <w:rPr>
              <w:color w:val="FFFFFF" w:themeColor="background1"/>
            </w:rPr>
            <w:fldChar w:fldCharType="separate"/>
          </w:r>
          <w:r w:rsidRPr="008172CD">
            <w:rPr>
              <w:noProof/>
              <w:color w:val="FFFFFF" w:themeColor="background1"/>
            </w:rPr>
            <w:t>2</w:t>
          </w:r>
          <w:r w:rsidRPr="008172CD">
            <w:rPr>
              <w:noProof/>
              <w:color w:val="FFFFFF" w:themeColor="background1"/>
            </w:rPr>
            <w:fldChar w:fldCharType="end"/>
          </w:r>
        </w:p>
      </w:tc>
    </w:tr>
  </w:tbl>
  <w:p w14:paraId="553E1A12" w14:textId="32B54523" w:rsidR="00C1126D" w:rsidRDefault="00C112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481C0" w14:textId="77777777" w:rsidR="00C1126D" w:rsidRDefault="00C1126D" w:rsidP="00DA6568">
      <w:pPr>
        <w:spacing w:after="0" w:line="240" w:lineRule="auto"/>
      </w:pPr>
      <w:r>
        <w:separator/>
      </w:r>
    </w:p>
  </w:footnote>
  <w:footnote w:type="continuationSeparator" w:id="0">
    <w:p w14:paraId="45D2B204" w14:textId="77777777" w:rsidR="00C1126D" w:rsidRDefault="00C1126D" w:rsidP="00DA65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B3C44"/>
    <w:multiLevelType w:val="hybridMultilevel"/>
    <w:tmpl w:val="7312E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8C77F5"/>
    <w:multiLevelType w:val="hybridMultilevel"/>
    <w:tmpl w:val="37065C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DCC2EB4"/>
    <w:multiLevelType w:val="hybridMultilevel"/>
    <w:tmpl w:val="C0529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7B24AD"/>
    <w:multiLevelType w:val="hybridMultilevel"/>
    <w:tmpl w:val="7340BB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1621111"/>
    <w:multiLevelType w:val="hybridMultilevel"/>
    <w:tmpl w:val="FF3C5714"/>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9072192">
    <w:abstractNumId w:val="1"/>
  </w:num>
  <w:num w:numId="2" w16cid:durableId="959142915">
    <w:abstractNumId w:val="0"/>
  </w:num>
  <w:num w:numId="3" w16cid:durableId="1183013883">
    <w:abstractNumId w:val="2"/>
  </w:num>
  <w:num w:numId="4" w16cid:durableId="818036504">
    <w:abstractNumId w:val="4"/>
  </w:num>
  <w:num w:numId="5" w16cid:durableId="21157849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2BA"/>
    <w:rsid w:val="00003D8B"/>
    <w:rsid w:val="00007E60"/>
    <w:rsid w:val="0001053A"/>
    <w:rsid w:val="00013DAE"/>
    <w:rsid w:val="0001550F"/>
    <w:rsid w:val="000219F2"/>
    <w:rsid w:val="00030F2F"/>
    <w:rsid w:val="00052BC0"/>
    <w:rsid w:val="00054C1D"/>
    <w:rsid w:val="0005757C"/>
    <w:rsid w:val="00057EF1"/>
    <w:rsid w:val="00061C96"/>
    <w:rsid w:val="0006406D"/>
    <w:rsid w:val="00074CAE"/>
    <w:rsid w:val="00080109"/>
    <w:rsid w:val="000838D7"/>
    <w:rsid w:val="000931C7"/>
    <w:rsid w:val="00094E36"/>
    <w:rsid w:val="00095180"/>
    <w:rsid w:val="000A2552"/>
    <w:rsid w:val="000A581D"/>
    <w:rsid w:val="000B030C"/>
    <w:rsid w:val="000B29FA"/>
    <w:rsid w:val="000B3441"/>
    <w:rsid w:val="000B500E"/>
    <w:rsid w:val="000C0EA7"/>
    <w:rsid w:val="000C274D"/>
    <w:rsid w:val="000D3E7A"/>
    <w:rsid w:val="000D478C"/>
    <w:rsid w:val="000E6A78"/>
    <w:rsid w:val="000E6F3C"/>
    <w:rsid w:val="000F13E5"/>
    <w:rsid w:val="000F296A"/>
    <w:rsid w:val="000F2FBF"/>
    <w:rsid w:val="000F5C77"/>
    <w:rsid w:val="000F5D22"/>
    <w:rsid w:val="00117044"/>
    <w:rsid w:val="00125617"/>
    <w:rsid w:val="00127660"/>
    <w:rsid w:val="0013755F"/>
    <w:rsid w:val="00144601"/>
    <w:rsid w:val="0014613C"/>
    <w:rsid w:val="00172F55"/>
    <w:rsid w:val="0017325B"/>
    <w:rsid w:val="00183CE0"/>
    <w:rsid w:val="00186B76"/>
    <w:rsid w:val="00186E47"/>
    <w:rsid w:val="001A48EC"/>
    <w:rsid w:val="001C1890"/>
    <w:rsid w:val="001C52F5"/>
    <w:rsid w:val="001D5361"/>
    <w:rsid w:val="001E2E67"/>
    <w:rsid w:val="001E3CC3"/>
    <w:rsid w:val="001E5EB1"/>
    <w:rsid w:val="001E7EB3"/>
    <w:rsid w:val="001F2E49"/>
    <w:rsid w:val="001F3254"/>
    <w:rsid w:val="001F4C0F"/>
    <w:rsid w:val="002316CB"/>
    <w:rsid w:val="00232B13"/>
    <w:rsid w:val="002413C5"/>
    <w:rsid w:val="002424CD"/>
    <w:rsid w:val="002557ED"/>
    <w:rsid w:val="00255EB5"/>
    <w:rsid w:val="00257F72"/>
    <w:rsid w:val="0029283B"/>
    <w:rsid w:val="002A350F"/>
    <w:rsid w:val="002A58EB"/>
    <w:rsid w:val="002A5D27"/>
    <w:rsid w:val="002A7361"/>
    <w:rsid w:val="002B11B2"/>
    <w:rsid w:val="002B1FB7"/>
    <w:rsid w:val="002B3B80"/>
    <w:rsid w:val="002B42D7"/>
    <w:rsid w:val="002B7E3A"/>
    <w:rsid w:val="002C0937"/>
    <w:rsid w:val="002C10DD"/>
    <w:rsid w:val="002C1984"/>
    <w:rsid w:val="002C3A75"/>
    <w:rsid w:val="002C698D"/>
    <w:rsid w:val="002C78BA"/>
    <w:rsid w:val="002D0C95"/>
    <w:rsid w:val="002D7C10"/>
    <w:rsid w:val="002E0FC9"/>
    <w:rsid w:val="002E4C84"/>
    <w:rsid w:val="002F08FE"/>
    <w:rsid w:val="002F3359"/>
    <w:rsid w:val="002F4C4F"/>
    <w:rsid w:val="002F7D48"/>
    <w:rsid w:val="0030254E"/>
    <w:rsid w:val="00304BD6"/>
    <w:rsid w:val="00305178"/>
    <w:rsid w:val="00306BF5"/>
    <w:rsid w:val="003252BE"/>
    <w:rsid w:val="0032572F"/>
    <w:rsid w:val="00330786"/>
    <w:rsid w:val="00340127"/>
    <w:rsid w:val="003424DA"/>
    <w:rsid w:val="003435B5"/>
    <w:rsid w:val="00343F8B"/>
    <w:rsid w:val="00344B1E"/>
    <w:rsid w:val="00347AA9"/>
    <w:rsid w:val="00357BB1"/>
    <w:rsid w:val="00366792"/>
    <w:rsid w:val="003676E3"/>
    <w:rsid w:val="00373E10"/>
    <w:rsid w:val="00380FCE"/>
    <w:rsid w:val="003869EA"/>
    <w:rsid w:val="003901C1"/>
    <w:rsid w:val="00391051"/>
    <w:rsid w:val="00391D7B"/>
    <w:rsid w:val="00393190"/>
    <w:rsid w:val="00395D1D"/>
    <w:rsid w:val="003A16DB"/>
    <w:rsid w:val="003A1DAA"/>
    <w:rsid w:val="003B1935"/>
    <w:rsid w:val="003C3C7A"/>
    <w:rsid w:val="003C565B"/>
    <w:rsid w:val="003D27FF"/>
    <w:rsid w:val="003D5140"/>
    <w:rsid w:val="003D6E66"/>
    <w:rsid w:val="003E60C8"/>
    <w:rsid w:val="003F087A"/>
    <w:rsid w:val="003F1538"/>
    <w:rsid w:val="003F7A5F"/>
    <w:rsid w:val="003F7D9C"/>
    <w:rsid w:val="00402D72"/>
    <w:rsid w:val="004207D3"/>
    <w:rsid w:val="0043355D"/>
    <w:rsid w:val="0043624B"/>
    <w:rsid w:val="004370C7"/>
    <w:rsid w:val="00442341"/>
    <w:rsid w:val="00464AA8"/>
    <w:rsid w:val="0046590F"/>
    <w:rsid w:val="0047099E"/>
    <w:rsid w:val="00471AA5"/>
    <w:rsid w:val="00471E36"/>
    <w:rsid w:val="004746F8"/>
    <w:rsid w:val="00474D0E"/>
    <w:rsid w:val="00476BAE"/>
    <w:rsid w:val="004772F7"/>
    <w:rsid w:val="00480160"/>
    <w:rsid w:val="00481606"/>
    <w:rsid w:val="004A59ED"/>
    <w:rsid w:val="004B05BF"/>
    <w:rsid w:val="004B0F1E"/>
    <w:rsid w:val="004B4B09"/>
    <w:rsid w:val="004B66E2"/>
    <w:rsid w:val="004C59F3"/>
    <w:rsid w:val="004D2203"/>
    <w:rsid w:val="004D2A69"/>
    <w:rsid w:val="004E156C"/>
    <w:rsid w:val="004E4410"/>
    <w:rsid w:val="004F075E"/>
    <w:rsid w:val="004F3E2A"/>
    <w:rsid w:val="00501F48"/>
    <w:rsid w:val="00502262"/>
    <w:rsid w:val="0050265C"/>
    <w:rsid w:val="00503A41"/>
    <w:rsid w:val="00506AFF"/>
    <w:rsid w:val="0051181B"/>
    <w:rsid w:val="00511930"/>
    <w:rsid w:val="005128ED"/>
    <w:rsid w:val="00521CBA"/>
    <w:rsid w:val="005264FF"/>
    <w:rsid w:val="00530445"/>
    <w:rsid w:val="00531111"/>
    <w:rsid w:val="00534165"/>
    <w:rsid w:val="00541D2A"/>
    <w:rsid w:val="005440E6"/>
    <w:rsid w:val="00553A3C"/>
    <w:rsid w:val="005723D3"/>
    <w:rsid w:val="005743DD"/>
    <w:rsid w:val="005849A7"/>
    <w:rsid w:val="00586A7A"/>
    <w:rsid w:val="005907C4"/>
    <w:rsid w:val="00591131"/>
    <w:rsid w:val="00592C48"/>
    <w:rsid w:val="00592FD1"/>
    <w:rsid w:val="00595CED"/>
    <w:rsid w:val="005A02FA"/>
    <w:rsid w:val="005A3049"/>
    <w:rsid w:val="005A474E"/>
    <w:rsid w:val="005A5740"/>
    <w:rsid w:val="005B379B"/>
    <w:rsid w:val="005B7C39"/>
    <w:rsid w:val="005B7C93"/>
    <w:rsid w:val="005C4EFA"/>
    <w:rsid w:val="005C7F52"/>
    <w:rsid w:val="005D6591"/>
    <w:rsid w:val="005D7C9C"/>
    <w:rsid w:val="005E0678"/>
    <w:rsid w:val="005E1150"/>
    <w:rsid w:val="005E416D"/>
    <w:rsid w:val="00600BAE"/>
    <w:rsid w:val="00600C8D"/>
    <w:rsid w:val="006066F0"/>
    <w:rsid w:val="00620BC2"/>
    <w:rsid w:val="00621F47"/>
    <w:rsid w:val="00622F8C"/>
    <w:rsid w:val="00622FEA"/>
    <w:rsid w:val="0062709E"/>
    <w:rsid w:val="006305C4"/>
    <w:rsid w:val="00630B36"/>
    <w:rsid w:val="00633CD5"/>
    <w:rsid w:val="00636DAA"/>
    <w:rsid w:val="00637544"/>
    <w:rsid w:val="00642572"/>
    <w:rsid w:val="006430AE"/>
    <w:rsid w:val="00646858"/>
    <w:rsid w:val="006553FF"/>
    <w:rsid w:val="00655C4D"/>
    <w:rsid w:val="0066110A"/>
    <w:rsid w:val="006612BE"/>
    <w:rsid w:val="006669BD"/>
    <w:rsid w:val="0068450F"/>
    <w:rsid w:val="0068484E"/>
    <w:rsid w:val="006A016C"/>
    <w:rsid w:val="006A1C6A"/>
    <w:rsid w:val="006A2273"/>
    <w:rsid w:val="006A3430"/>
    <w:rsid w:val="006A352D"/>
    <w:rsid w:val="006A4F14"/>
    <w:rsid w:val="006A74F8"/>
    <w:rsid w:val="006B099C"/>
    <w:rsid w:val="006B4608"/>
    <w:rsid w:val="006C1E47"/>
    <w:rsid w:val="006C2B34"/>
    <w:rsid w:val="006C7678"/>
    <w:rsid w:val="006D5592"/>
    <w:rsid w:val="006E026E"/>
    <w:rsid w:val="006E68CE"/>
    <w:rsid w:val="006F037E"/>
    <w:rsid w:val="006F7AD0"/>
    <w:rsid w:val="00723660"/>
    <w:rsid w:val="00725F9B"/>
    <w:rsid w:val="0073189F"/>
    <w:rsid w:val="00734510"/>
    <w:rsid w:val="00735FA3"/>
    <w:rsid w:val="0074037A"/>
    <w:rsid w:val="00740F3C"/>
    <w:rsid w:val="0074229C"/>
    <w:rsid w:val="00751001"/>
    <w:rsid w:val="00753380"/>
    <w:rsid w:val="00753490"/>
    <w:rsid w:val="00755278"/>
    <w:rsid w:val="00757284"/>
    <w:rsid w:val="0076396E"/>
    <w:rsid w:val="00777D24"/>
    <w:rsid w:val="00781600"/>
    <w:rsid w:val="00795487"/>
    <w:rsid w:val="007A1556"/>
    <w:rsid w:val="007A7253"/>
    <w:rsid w:val="007B0EEE"/>
    <w:rsid w:val="007B3B89"/>
    <w:rsid w:val="007C518B"/>
    <w:rsid w:val="007D2049"/>
    <w:rsid w:val="007D2BF8"/>
    <w:rsid w:val="007D645D"/>
    <w:rsid w:val="007E1992"/>
    <w:rsid w:val="007E4149"/>
    <w:rsid w:val="007E47FA"/>
    <w:rsid w:val="007F4B46"/>
    <w:rsid w:val="00802592"/>
    <w:rsid w:val="0080368F"/>
    <w:rsid w:val="00813080"/>
    <w:rsid w:val="00814C48"/>
    <w:rsid w:val="008172CD"/>
    <w:rsid w:val="00825AC6"/>
    <w:rsid w:val="00830203"/>
    <w:rsid w:val="00830DC5"/>
    <w:rsid w:val="00840B2B"/>
    <w:rsid w:val="00841FEF"/>
    <w:rsid w:val="00844294"/>
    <w:rsid w:val="008467CB"/>
    <w:rsid w:val="008524C9"/>
    <w:rsid w:val="00853419"/>
    <w:rsid w:val="008573B4"/>
    <w:rsid w:val="00857BEB"/>
    <w:rsid w:val="008616B7"/>
    <w:rsid w:val="00862D21"/>
    <w:rsid w:val="008630DD"/>
    <w:rsid w:val="00863292"/>
    <w:rsid w:val="0087221D"/>
    <w:rsid w:val="00873E84"/>
    <w:rsid w:val="00876900"/>
    <w:rsid w:val="008769F3"/>
    <w:rsid w:val="00877539"/>
    <w:rsid w:val="00880DEC"/>
    <w:rsid w:val="008A09F1"/>
    <w:rsid w:val="008A130A"/>
    <w:rsid w:val="008A146B"/>
    <w:rsid w:val="008A29DF"/>
    <w:rsid w:val="008A2B8A"/>
    <w:rsid w:val="008A2BD9"/>
    <w:rsid w:val="008A2C67"/>
    <w:rsid w:val="008A7439"/>
    <w:rsid w:val="008A7AE1"/>
    <w:rsid w:val="008B0AF1"/>
    <w:rsid w:val="008B252A"/>
    <w:rsid w:val="008C0139"/>
    <w:rsid w:val="008C1868"/>
    <w:rsid w:val="008C318C"/>
    <w:rsid w:val="008C3563"/>
    <w:rsid w:val="008D11D0"/>
    <w:rsid w:val="008D1837"/>
    <w:rsid w:val="008E0FBD"/>
    <w:rsid w:val="008E7D86"/>
    <w:rsid w:val="00900EE8"/>
    <w:rsid w:val="009011C0"/>
    <w:rsid w:val="00904A75"/>
    <w:rsid w:val="00906DEA"/>
    <w:rsid w:val="00910256"/>
    <w:rsid w:val="00917B51"/>
    <w:rsid w:val="009215A2"/>
    <w:rsid w:val="0093348D"/>
    <w:rsid w:val="0093668F"/>
    <w:rsid w:val="00941C2F"/>
    <w:rsid w:val="009426A3"/>
    <w:rsid w:val="009515AC"/>
    <w:rsid w:val="00956E62"/>
    <w:rsid w:val="009577E5"/>
    <w:rsid w:val="00957EA1"/>
    <w:rsid w:val="00961811"/>
    <w:rsid w:val="00964880"/>
    <w:rsid w:val="0096514A"/>
    <w:rsid w:val="00966691"/>
    <w:rsid w:val="009671B8"/>
    <w:rsid w:val="00983B46"/>
    <w:rsid w:val="009878EA"/>
    <w:rsid w:val="00993015"/>
    <w:rsid w:val="00995A0C"/>
    <w:rsid w:val="00996D88"/>
    <w:rsid w:val="00997FF5"/>
    <w:rsid w:val="009A18BA"/>
    <w:rsid w:val="009A7BC3"/>
    <w:rsid w:val="009B109E"/>
    <w:rsid w:val="009B522C"/>
    <w:rsid w:val="009C43BC"/>
    <w:rsid w:val="009D00DB"/>
    <w:rsid w:val="009D4060"/>
    <w:rsid w:val="009D4B8A"/>
    <w:rsid w:val="009D6A63"/>
    <w:rsid w:val="009E0B4C"/>
    <w:rsid w:val="009E1169"/>
    <w:rsid w:val="009E1531"/>
    <w:rsid w:val="009E1A46"/>
    <w:rsid w:val="009E4625"/>
    <w:rsid w:val="009F05A6"/>
    <w:rsid w:val="009F663D"/>
    <w:rsid w:val="009F743B"/>
    <w:rsid w:val="00A01B45"/>
    <w:rsid w:val="00A11245"/>
    <w:rsid w:val="00A14132"/>
    <w:rsid w:val="00A14965"/>
    <w:rsid w:val="00A174A9"/>
    <w:rsid w:val="00A20454"/>
    <w:rsid w:val="00A21EBE"/>
    <w:rsid w:val="00A25C15"/>
    <w:rsid w:val="00A266B5"/>
    <w:rsid w:val="00A30C55"/>
    <w:rsid w:val="00A53920"/>
    <w:rsid w:val="00A56CBA"/>
    <w:rsid w:val="00A60204"/>
    <w:rsid w:val="00A61AC6"/>
    <w:rsid w:val="00A636FC"/>
    <w:rsid w:val="00A6397D"/>
    <w:rsid w:val="00A647D6"/>
    <w:rsid w:val="00A66470"/>
    <w:rsid w:val="00A67D21"/>
    <w:rsid w:val="00A73C6C"/>
    <w:rsid w:val="00A73D27"/>
    <w:rsid w:val="00A803D2"/>
    <w:rsid w:val="00A83A54"/>
    <w:rsid w:val="00A912FC"/>
    <w:rsid w:val="00A93A4B"/>
    <w:rsid w:val="00A965B9"/>
    <w:rsid w:val="00AA278E"/>
    <w:rsid w:val="00AA388B"/>
    <w:rsid w:val="00AA4385"/>
    <w:rsid w:val="00AB407E"/>
    <w:rsid w:val="00AB6366"/>
    <w:rsid w:val="00AB7538"/>
    <w:rsid w:val="00AC20BE"/>
    <w:rsid w:val="00AC639A"/>
    <w:rsid w:val="00AD0454"/>
    <w:rsid w:val="00AD40F1"/>
    <w:rsid w:val="00AD4E0A"/>
    <w:rsid w:val="00AD610E"/>
    <w:rsid w:val="00AD65CB"/>
    <w:rsid w:val="00AD79DB"/>
    <w:rsid w:val="00AD7B76"/>
    <w:rsid w:val="00AE1160"/>
    <w:rsid w:val="00AE5A4A"/>
    <w:rsid w:val="00B02B4B"/>
    <w:rsid w:val="00B102C5"/>
    <w:rsid w:val="00B124FA"/>
    <w:rsid w:val="00B12ED8"/>
    <w:rsid w:val="00B13805"/>
    <w:rsid w:val="00B1723F"/>
    <w:rsid w:val="00B203AB"/>
    <w:rsid w:val="00B20C8B"/>
    <w:rsid w:val="00B20F91"/>
    <w:rsid w:val="00B21339"/>
    <w:rsid w:val="00B2429F"/>
    <w:rsid w:val="00B24D8C"/>
    <w:rsid w:val="00B27B8E"/>
    <w:rsid w:val="00B32EA8"/>
    <w:rsid w:val="00B36158"/>
    <w:rsid w:val="00B36EA4"/>
    <w:rsid w:val="00B37D1C"/>
    <w:rsid w:val="00B403FF"/>
    <w:rsid w:val="00B45B05"/>
    <w:rsid w:val="00B4720F"/>
    <w:rsid w:val="00B60638"/>
    <w:rsid w:val="00B618DC"/>
    <w:rsid w:val="00B65693"/>
    <w:rsid w:val="00B750B7"/>
    <w:rsid w:val="00B900E0"/>
    <w:rsid w:val="00B9658E"/>
    <w:rsid w:val="00BA3598"/>
    <w:rsid w:val="00BA4EA7"/>
    <w:rsid w:val="00BA5E44"/>
    <w:rsid w:val="00BB2E91"/>
    <w:rsid w:val="00BC3805"/>
    <w:rsid w:val="00BC3D6B"/>
    <w:rsid w:val="00BD058F"/>
    <w:rsid w:val="00BD1544"/>
    <w:rsid w:val="00BD323E"/>
    <w:rsid w:val="00BD6DE5"/>
    <w:rsid w:val="00BE0E05"/>
    <w:rsid w:val="00BE61A9"/>
    <w:rsid w:val="00BE665C"/>
    <w:rsid w:val="00BE7F04"/>
    <w:rsid w:val="00BF2860"/>
    <w:rsid w:val="00BF57C3"/>
    <w:rsid w:val="00BF622B"/>
    <w:rsid w:val="00C00B77"/>
    <w:rsid w:val="00C1126D"/>
    <w:rsid w:val="00C172DA"/>
    <w:rsid w:val="00C208A9"/>
    <w:rsid w:val="00C278BA"/>
    <w:rsid w:val="00C32656"/>
    <w:rsid w:val="00C349F6"/>
    <w:rsid w:val="00C359AB"/>
    <w:rsid w:val="00C42998"/>
    <w:rsid w:val="00C43BF4"/>
    <w:rsid w:val="00C50272"/>
    <w:rsid w:val="00C51A00"/>
    <w:rsid w:val="00C535E2"/>
    <w:rsid w:val="00C53AD3"/>
    <w:rsid w:val="00C57934"/>
    <w:rsid w:val="00C63F42"/>
    <w:rsid w:val="00C66C85"/>
    <w:rsid w:val="00C67700"/>
    <w:rsid w:val="00C73610"/>
    <w:rsid w:val="00C74792"/>
    <w:rsid w:val="00C75B31"/>
    <w:rsid w:val="00C77A35"/>
    <w:rsid w:val="00C82037"/>
    <w:rsid w:val="00C822E2"/>
    <w:rsid w:val="00C8554B"/>
    <w:rsid w:val="00C926E5"/>
    <w:rsid w:val="00CA247A"/>
    <w:rsid w:val="00CA62FA"/>
    <w:rsid w:val="00CB06CC"/>
    <w:rsid w:val="00CB31B7"/>
    <w:rsid w:val="00CB3ACD"/>
    <w:rsid w:val="00CB620B"/>
    <w:rsid w:val="00CB7AC2"/>
    <w:rsid w:val="00CC1A94"/>
    <w:rsid w:val="00CC2688"/>
    <w:rsid w:val="00CD0FC4"/>
    <w:rsid w:val="00CD38BC"/>
    <w:rsid w:val="00CD488F"/>
    <w:rsid w:val="00CE3D2F"/>
    <w:rsid w:val="00CE5CDD"/>
    <w:rsid w:val="00CF0048"/>
    <w:rsid w:val="00CF05A2"/>
    <w:rsid w:val="00CF63DD"/>
    <w:rsid w:val="00D009FB"/>
    <w:rsid w:val="00D00BA7"/>
    <w:rsid w:val="00D0149C"/>
    <w:rsid w:val="00D01830"/>
    <w:rsid w:val="00D024A3"/>
    <w:rsid w:val="00D063B8"/>
    <w:rsid w:val="00D06CA6"/>
    <w:rsid w:val="00D20102"/>
    <w:rsid w:val="00D21287"/>
    <w:rsid w:val="00D2579A"/>
    <w:rsid w:val="00D2791C"/>
    <w:rsid w:val="00D30D25"/>
    <w:rsid w:val="00D3708A"/>
    <w:rsid w:val="00D4002C"/>
    <w:rsid w:val="00D45F8A"/>
    <w:rsid w:val="00D52DD0"/>
    <w:rsid w:val="00D54E86"/>
    <w:rsid w:val="00D56ADE"/>
    <w:rsid w:val="00D60367"/>
    <w:rsid w:val="00D61A1C"/>
    <w:rsid w:val="00D65E40"/>
    <w:rsid w:val="00D670FE"/>
    <w:rsid w:val="00D75109"/>
    <w:rsid w:val="00D756BB"/>
    <w:rsid w:val="00D76254"/>
    <w:rsid w:val="00D80523"/>
    <w:rsid w:val="00D82484"/>
    <w:rsid w:val="00D83700"/>
    <w:rsid w:val="00D84AE5"/>
    <w:rsid w:val="00D91E3B"/>
    <w:rsid w:val="00D937C8"/>
    <w:rsid w:val="00DA0B3E"/>
    <w:rsid w:val="00DA36E0"/>
    <w:rsid w:val="00DA6568"/>
    <w:rsid w:val="00DA66BB"/>
    <w:rsid w:val="00DA749A"/>
    <w:rsid w:val="00DB387D"/>
    <w:rsid w:val="00DB56B3"/>
    <w:rsid w:val="00DB6C9B"/>
    <w:rsid w:val="00DC0ACE"/>
    <w:rsid w:val="00DC22BA"/>
    <w:rsid w:val="00DC7021"/>
    <w:rsid w:val="00DD04BB"/>
    <w:rsid w:val="00DD0AD4"/>
    <w:rsid w:val="00DD0F45"/>
    <w:rsid w:val="00DD49DC"/>
    <w:rsid w:val="00DD6875"/>
    <w:rsid w:val="00DD79DF"/>
    <w:rsid w:val="00DD7CD3"/>
    <w:rsid w:val="00DE62BB"/>
    <w:rsid w:val="00DE7BEB"/>
    <w:rsid w:val="00DE7ED6"/>
    <w:rsid w:val="00DF3106"/>
    <w:rsid w:val="00DF507F"/>
    <w:rsid w:val="00DF5602"/>
    <w:rsid w:val="00DF59F3"/>
    <w:rsid w:val="00E03C54"/>
    <w:rsid w:val="00E04C23"/>
    <w:rsid w:val="00E053EB"/>
    <w:rsid w:val="00E0738E"/>
    <w:rsid w:val="00E15111"/>
    <w:rsid w:val="00E21B91"/>
    <w:rsid w:val="00E31EBF"/>
    <w:rsid w:val="00E33625"/>
    <w:rsid w:val="00E34B6A"/>
    <w:rsid w:val="00E35654"/>
    <w:rsid w:val="00E43383"/>
    <w:rsid w:val="00E449EC"/>
    <w:rsid w:val="00E458F0"/>
    <w:rsid w:val="00E50534"/>
    <w:rsid w:val="00E534A5"/>
    <w:rsid w:val="00E54335"/>
    <w:rsid w:val="00E55077"/>
    <w:rsid w:val="00E56A1F"/>
    <w:rsid w:val="00E60D58"/>
    <w:rsid w:val="00E7187B"/>
    <w:rsid w:val="00E71BD1"/>
    <w:rsid w:val="00E74F66"/>
    <w:rsid w:val="00E9068C"/>
    <w:rsid w:val="00E92840"/>
    <w:rsid w:val="00E952F3"/>
    <w:rsid w:val="00EA3D21"/>
    <w:rsid w:val="00EA6362"/>
    <w:rsid w:val="00EB01A2"/>
    <w:rsid w:val="00EB6E8D"/>
    <w:rsid w:val="00EC2E69"/>
    <w:rsid w:val="00ED34C2"/>
    <w:rsid w:val="00EE0748"/>
    <w:rsid w:val="00EE3347"/>
    <w:rsid w:val="00EE4F63"/>
    <w:rsid w:val="00EE5D28"/>
    <w:rsid w:val="00EF09F5"/>
    <w:rsid w:val="00F03CFD"/>
    <w:rsid w:val="00F17759"/>
    <w:rsid w:val="00F17C0C"/>
    <w:rsid w:val="00F22922"/>
    <w:rsid w:val="00F4177E"/>
    <w:rsid w:val="00F42E56"/>
    <w:rsid w:val="00F44C9D"/>
    <w:rsid w:val="00F52490"/>
    <w:rsid w:val="00F52A90"/>
    <w:rsid w:val="00F55581"/>
    <w:rsid w:val="00F628F5"/>
    <w:rsid w:val="00F63570"/>
    <w:rsid w:val="00F635AB"/>
    <w:rsid w:val="00F8071D"/>
    <w:rsid w:val="00F83285"/>
    <w:rsid w:val="00F90D73"/>
    <w:rsid w:val="00F9352A"/>
    <w:rsid w:val="00F969DA"/>
    <w:rsid w:val="00FA2643"/>
    <w:rsid w:val="00FB34D8"/>
    <w:rsid w:val="00FD3E07"/>
    <w:rsid w:val="00FD4032"/>
    <w:rsid w:val="00FD43FC"/>
    <w:rsid w:val="00FD4EDC"/>
    <w:rsid w:val="00FD556F"/>
    <w:rsid w:val="00FD7A3B"/>
    <w:rsid w:val="00FE1198"/>
    <w:rsid w:val="00FF4FAF"/>
    <w:rsid w:val="00FF6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3ADEFBD6"/>
  <w15:chartTrackingRefBased/>
  <w15:docId w15:val="{50D61043-12FF-4FF0-8782-B3D419C5C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9EC"/>
    <w:pPr>
      <w:ind w:left="720"/>
      <w:contextualSpacing/>
    </w:pPr>
  </w:style>
  <w:style w:type="paragraph" w:styleId="BalloonText">
    <w:name w:val="Balloon Text"/>
    <w:basedOn w:val="Normal"/>
    <w:link w:val="BalloonTextChar"/>
    <w:uiPriority w:val="99"/>
    <w:semiHidden/>
    <w:unhideWhenUsed/>
    <w:rsid w:val="00AA38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88B"/>
    <w:rPr>
      <w:rFonts w:ascii="Segoe UI" w:hAnsi="Segoe UI" w:cs="Segoe UI"/>
      <w:sz w:val="18"/>
      <w:szCs w:val="18"/>
    </w:rPr>
  </w:style>
  <w:style w:type="table" w:styleId="TableGrid">
    <w:name w:val="Table Grid"/>
    <w:basedOn w:val="TableNormal"/>
    <w:uiPriority w:val="39"/>
    <w:rsid w:val="00E74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6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568"/>
  </w:style>
  <w:style w:type="paragraph" w:styleId="Footer">
    <w:name w:val="footer"/>
    <w:basedOn w:val="Normal"/>
    <w:link w:val="FooterChar"/>
    <w:uiPriority w:val="99"/>
    <w:unhideWhenUsed/>
    <w:rsid w:val="00DA6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568"/>
  </w:style>
  <w:style w:type="table" w:styleId="TableGridLight">
    <w:name w:val="Grid Table Light"/>
    <w:basedOn w:val="TableNormal"/>
    <w:uiPriority w:val="40"/>
    <w:rsid w:val="00F635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dnoteText">
    <w:name w:val="endnote text"/>
    <w:basedOn w:val="Normal"/>
    <w:link w:val="EndnoteTextChar"/>
    <w:uiPriority w:val="99"/>
    <w:semiHidden/>
    <w:unhideWhenUsed/>
    <w:rsid w:val="00E534A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34A5"/>
    <w:rPr>
      <w:sz w:val="20"/>
      <w:szCs w:val="20"/>
    </w:rPr>
  </w:style>
  <w:style w:type="character" w:styleId="EndnoteReference">
    <w:name w:val="endnote reference"/>
    <w:basedOn w:val="DefaultParagraphFont"/>
    <w:uiPriority w:val="99"/>
    <w:semiHidden/>
    <w:unhideWhenUsed/>
    <w:rsid w:val="00E534A5"/>
    <w:rPr>
      <w:vertAlign w:val="superscript"/>
    </w:rPr>
  </w:style>
  <w:style w:type="paragraph" w:styleId="FootnoteText">
    <w:name w:val="footnote text"/>
    <w:basedOn w:val="Normal"/>
    <w:link w:val="FootnoteTextChar"/>
    <w:uiPriority w:val="99"/>
    <w:semiHidden/>
    <w:unhideWhenUsed/>
    <w:rsid w:val="00E534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34A5"/>
    <w:rPr>
      <w:sz w:val="20"/>
      <w:szCs w:val="20"/>
    </w:rPr>
  </w:style>
  <w:style w:type="character" w:styleId="FootnoteReference">
    <w:name w:val="footnote reference"/>
    <w:basedOn w:val="DefaultParagraphFont"/>
    <w:uiPriority w:val="99"/>
    <w:semiHidden/>
    <w:unhideWhenUsed/>
    <w:rsid w:val="00E534A5"/>
    <w:rPr>
      <w:vertAlign w:val="superscript"/>
    </w:rPr>
  </w:style>
  <w:style w:type="character" w:styleId="CommentReference">
    <w:name w:val="annotation reference"/>
    <w:basedOn w:val="DefaultParagraphFont"/>
    <w:uiPriority w:val="99"/>
    <w:semiHidden/>
    <w:unhideWhenUsed/>
    <w:rsid w:val="002B3B80"/>
    <w:rPr>
      <w:sz w:val="16"/>
      <w:szCs w:val="16"/>
    </w:rPr>
  </w:style>
  <w:style w:type="paragraph" w:styleId="CommentText">
    <w:name w:val="annotation text"/>
    <w:basedOn w:val="Normal"/>
    <w:link w:val="CommentTextChar"/>
    <w:uiPriority w:val="99"/>
    <w:unhideWhenUsed/>
    <w:rsid w:val="002B3B80"/>
    <w:pPr>
      <w:spacing w:line="240" w:lineRule="auto"/>
    </w:pPr>
    <w:rPr>
      <w:sz w:val="20"/>
      <w:szCs w:val="20"/>
    </w:rPr>
  </w:style>
  <w:style w:type="character" w:customStyle="1" w:styleId="CommentTextChar">
    <w:name w:val="Comment Text Char"/>
    <w:basedOn w:val="DefaultParagraphFont"/>
    <w:link w:val="CommentText"/>
    <w:uiPriority w:val="99"/>
    <w:rsid w:val="002B3B80"/>
    <w:rPr>
      <w:sz w:val="20"/>
      <w:szCs w:val="20"/>
    </w:rPr>
  </w:style>
  <w:style w:type="paragraph" w:styleId="CommentSubject">
    <w:name w:val="annotation subject"/>
    <w:basedOn w:val="CommentText"/>
    <w:next w:val="CommentText"/>
    <w:link w:val="CommentSubjectChar"/>
    <w:uiPriority w:val="99"/>
    <w:semiHidden/>
    <w:unhideWhenUsed/>
    <w:rsid w:val="002B3B80"/>
    <w:rPr>
      <w:b/>
      <w:bCs/>
    </w:rPr>
  </w:style>
  <w:style w:type="character" w:customStyle="1" w:styleId="CommentSubjectChar">
    <w:name w:val="Comment Subject Char"/>
    <w:basedOn w:val="CommentTextChar"/>
    <w:link w:val="CommentSubject"/>
    <w:uiPriority w:val="99"/>
    <w:semiHidden/>
    <w:rsid w:val="002B3B80"/>
    <w:rPr>
      <w:b/>
      <w:bCs/>
      <w:sz w:val="20"/>
      <w:szCs w:val="20"/>
    </w:rPr>
  </w:style>
  <w:style w:type="paragraph" w:styleId="Revision">
    <w:name w:val="Revision"/>
    <w:hidden/>
    <w:uiPriority w:val="99"/>
    <w:semiHidden/>
    <w:rsid w:val="002B3B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6053">
      <w:bodyDiv w:val="1"/>
      <w:marLeft w:val="0"/>
      <w:marRight w:val="0"/>
      <w:marTop w:val="0"/>
      <w:marBottom w:val="0"/>
      <w:divBdr>
        <w:top w:val="none" w:sz="0" w:space="0" w:color="auto"/>
        <w:left w:val="none" w:sz="0" w:space="0" w:color="auto"/>
        <w:bottom w:val="none" w:sz="0" w:space="0" w:color="auto"/>
        <w:right w:val="none" w:sz="0" w:space="0" w:color="auto"/>
      </w:divBdr>
    </w:div>
    <w:div w:id="339897542">
      <w:bodyDiv w:val="1"/>
      <w:marLeft w:val="0"/>
      <w:marRight w:val="0"/>
      <w:marTop w:val="0"/>
      <w:marBottom w:val="0"/>
      <w:divBdr>
        <w:top w:val="none" w:sz="0" w:space="0" w:color="auto"/>
        <w:left w:val="none" w:sz="0" w:space="0" w:color="auto"/>
        <w:bottom w:val="none" w:sz="0" w:space="0" w:color="auto"/>
        <w:right w:val="none" w:sz="0" w:space="0" w:color="auto"/>
      </w:divBdr>
    </w:div>
    <w:div w:id="877012004">
      <w:bodyDiv w:val="1"/>
      <w:marLeft w:val="0"/>
      <w:marRight w:val="0"/>
      <w:marTop w:val="0"/>
      <w:marBottom w:val="0"/>
      <w:divBdr>
        <w:top w:val="none" w:sz="0" w:space="0" w:color="auto"/>
        <w:left w:val="none" w:sz="0" w:space="0" w:color="auto"/>
        <w:bottom w:val="none" w:sz="0" w:space="0" w:color="auto"/>
        <w:right w:val="none" w:sz="0" w:space="0" w:color="auto"/>
      </w:divBdr>
    </w:div>
    <w:div w:id="914045015">
      <w:bodyDiv w:val="1"/>
      <w:marLeft w:val="0"/>
      <w:marRight w:val="0"/>
      <w:marTop w:val="0"/>
      <w:marBottom w:val="0"/>
      <w:divBdr>
        <w:top w:val="none" w:sz="0" w:space="0" w:color="auto"/>
        <w:left w:val="none" w:sz="0" w:space="0" w:color="auto"/>
        <w:bottom w:val="none" w:sz="0" w:space="0" w:color="auto"/>
        <w:right w:val="none" w:sz="0" w:space="0" w:color="auto"/>
      </w:divBdr>
    </w:div>
    <w:div w:id="1104299871">
      <w:bodyDiv w:val="1"/>
      <w:marLeft w:val="0"/>
      <w:marRight w:val="0"/>
      <w:marTop w:val="0"/>
      <w:marBottom w:val="0"/>
      <w:divBdr>
        <w:top w:val="none" w:sz="0" w:space="0" w:color="auto"/>
        <w:left w:val="none" w:sz="0" w:space="0" w:color="auto"/>
        <w:bottom w:val="none" w:sz="0" w:space="0" w:color="auto"/>
        <w:right w:val="none" w:sz="0" w:space="0" w:color="auto"/>
      </w:divBdr>
    </w:div>
    <w:div w:id="1108693711">
      <w:bodyDiv w:val="1"/>
      <w:marLeft w:val="0"/>
      <w:marRight w:val="0"/>
      <w:marTop w:val="0"/>
      <w:marBottom w:val="0"/>
      <w:divBdr>
        <w:top w:val="none" w:sz="0" w:space="0" w:color="auto"/>
        <w:left w:val="none" w:sz="0" w:space="0" w:color="auto"/>
        <w:bottom w:val="none" w:sz="0" w:space="0" w:color="auto"/>
        <w:right w:val="none" w:sz="0" w:space="0" w:color="auto"/>
      </w:divBdr>
    </w:div>
    <w:div w:id="1301809672">
      <w:bodyDiv w:val="1"/>
      <w:marLeft w:val="0"/>
      <w:marRight w:val="0"/>
      <w:marTop w:val="0"/>
      <w:marBottom w:val="0"/>
      <w:divBdr>
        <w:top w:val="none" w:sz="0" w:space="0" w:color="auto"/>
        <w:left w:val="none" w:sz="0" w:space="0" w:color="auto"/>
        <w:bottom w:val="none" w:sz="0" w:space="0" w:color="auto"/>
        <w:right w:val="none" w:sz="0" w:space="0" w:color="auto"/>
      </w:divBdr>
    </w:div>
    <w:div w:id="1406685617">
      <w:bodyDiv w:val="1"/>
      <w:marLeft w:val="0"/>
      <w:marRight w:val="0"/>
      <w:marTop w:val="0"/>
      <w:marBottom w:val="0"/>
      <w:divBdr>
        <w:top w:val="none" w:sz="0" w:space="0" w:color="auto"/>
        <w:left w:val="none" w:sz="0" w:space="0" w:color="auto"/>
        <w:bottom w:val="none" w:sz="0" w:space="0" w:color="auto"/>
        <w:right w:val="none" w:sz="0" w:space="0" w:color="auto"/>
      </w:divBdr>
    </w:div>
    <w:div w:id="1476217488">
      <w:bodyDiv w:val="1"/>
      <w:marLeft w:val="0"/>
      <w:marRight w:val="0"/>
      <w:marTop w:val="0"/>
      <w:marBottom w:val="0"/>
      <w:divBdr>
        <w:top w:val="none" w:sz="0" w:space="0" w:color="auto"/>
        <w:left w:val="none" w:sz="0" w:space="0" w:color="auto"/>
        <w:bottom w:val="none" w:sz="0" w:space="0" w:color="auto"/>
        <w:right w:val="none" w:sz="0" w:space="0" w:color="auto"/>
      </w:divBdr>
    </w:div>
    <w:div w:id="1777827544">
      <w:bodyDiv w:val="1"/>
      <w:marLeft w:val="0"/>
      <w:marRight w:val="0"/>
      <w:marTop w:val="0"/>
      <w:marBottom w:val="0"/>
      <w:divBdr>
        <w:top w:val="none" w:sz="0" w:space="0" w:color="auto"/>
        <w:left w:val="none" w:sz="0" w:space="0" w:color="auto"/>
        <w:bottom w:val="none" w:sz="0" w:space="0" w:color="auto"/>
        <w:right w:val="none" w:sz="0" w:space="0" w:color="auto"/>
      </w:divBdr>
    </w:div>
    <w:div w:id="185383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1A81D690A4414283F0707A50CA2E64"/>
        <w:category>
          <w:name w:val="General"/>
          <w:gallery w:val="placeholder"/>
        </w:category>
        <w:types>
          <w:type w:val="bbPlcHdr"/>
        </w:types>
        <w:behaviors>
          <w:behavior w:val="content"/>
        </w:behaviors>
        <w:guid w:val="{770560A9-3961-4344-B9C0-6C1AE5D387A5}"/>
      </w:docPartPr>
      <w:docPartBody>
        <w:p w:rsidR="00037C18" w:rsidRDefault="00FC1886" w:rsidP="00FC1886">
          <w:pPr>
            <w:pStyle w:val="8E1A81D690A4414283F0707A50CA2E64"/>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886"/>
    <w:rsid w:val="00037C18"/>
    <w:rsid w:val="00FC1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1A81D690A4414283F0707A50CA2E64">
    <w:name w:val="8E1A81D690A4414283F0707A50CA2E64"/>
    <w:rsid w:val="00FC18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Demand-Based Parking Meter Rate Adjustments: Harbor East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3B227AB3A05740A52AD217AF26B384" ma:contentTypeVersion="0" ma:contentTypeDescription="Create a new document." ma:contentTypeScope="" ma:versionID="fdd23ee6797590a0ad7d71f5ea44f28f">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AFA5B4-6209-4397-B523-970E45E551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77C9376-FFAC-41CE-B4DD-9AEE5C2DCD08}">
  <ds:schemaRefs>
    <ds:schemaRef ds:uri="http://schemas.microsoft.com/sharepoint/v3/contenttype/forms"/>
  </ds:schemaRefs>
</ds:datastoreItem>
</file>

<file path=customXml/itemProps4.xml><?xml version="1.0" encoding="utf-8"?>
<ds:datastoreItem xmlns:ds="http://schemas.openxmlformats.org/officeDocument/2006/customXml" ds:itemID="{70AE6F62-F216-4B54-AC82-E6166536F39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06EC482-368A-40B6-9734-1B33B035F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6209</TotalTime>
  <Pages>10</Pages>
  <Words>1318</Words>
  <Characters>7514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Demand based parking meter rate adjustments: Mt. Vernon</dc:creator>
  <cp:keywords/>
  <dc:description/>
  <cp:lastModifiedBy>Kristen Misage</cp:lastModifiedBy>
  <cp:revision>26</cp:revision>
  <cp:lastPrinted>2019-01-02T21:29:00Z</cp:lastPrinted>
  <dcterms:created xsi:type="dcterms:W3CDTF">2022-11-16T13:38:00Z</dcterms:created>
  <dcterms:modified xsi:type="dcterms:W3CDTF">2022-12-01T16:03:00Z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0x010100573B227AB3A05740A52AD217AF26B384</vt:lpwstr>
  </property>
</Properties>
</file>